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87" w:rsidRPr="000E66DE" w:rsidRDefault="00196187" w:rsidP="00A7204D">
      <w:pPr>
        <w:jc w:val="right"/>
        <w:rPr>
          <w:rFonts w:cs="Times New Roman"/>
          <w:b/>
          <w:sz w:val="28"/>
        </w:rPr>
      </w:pPr>
    </w:p>
    <w:p w:rsidR="00CD73AF" w:rsidRPr="000E66DE" w:rsidRDefault="007C20A6" w:rsidP="00E60A73">
      <w:pPr>
        <w:pStyle w:val="Heading1"/>
        <w:rPr>
          <w:rFonts w:cs="Times New Roman"/>
        </w:rPr>
      </w:pPr>
      <w:bookmarkStart w:id="0" w:name="_Appendix_B:_Direct_1"/>
      <w:bookmarkStart w:id="1" w:name="_Toc19174456"/>
      <w:bookmarkEnd w:id="0"/>
      <w:r w:rsidRPr="000E66DE">
        <w:rPr>
          <w:rFonts w:cs="Times New Roman"/>
        </w:rPr>
        <w:t>Appendix B</w:t>
      </w:r>
      <w:r w:rsidR="00516199" w:rsidRPr="000E66DE">
        <w:rPr>
          <w:rFonts w:cs="Times New Roman"/>
        </w:rPr>
        <w:t>: Direct and Indirect Testing Accommodations for EL</w:t>
      </w:r>
      <w:bookmarkEnd w:id="1"/>
    </w:p>
    <w:tbl>
      <w:tblPr>
        <w:tblW w:w="5085" w:type="pct"/>
        <w:tblLook w:val="01E0" w:firstRow="1" w:lastRow="1" w:firstColumn="1" w:lastColumn="1" w:noHBand="0" w:noVBand="0"/>
      </w:tblPr>
      <w:tblGrid>
        <w:gridCol w:w="403"/>
        <w:gridCol w:w="443"/>
        <w:gridCol w:w="390"/>
        <w:gridCol w:w="360"/>
        <w:gridCol w:w="497"/>
        <w:gridCol w:w="750"/>
        <w:gridCol w:w="6666"/>
      </w:tblGrid>
      <w:tr w:rsidR="007C20A6" w:rsidRPr="000E66DE" w:rsidTr="001B6AB3">
        <w:trPr>
          <w:trHeight w:val="1313"/>
        </w:trPr>
        <w:tc>
          <w:tcPr>
            <w:tcW w:w="109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20A6" w:rsidRPr="000E66DE" w:rsidRDefault="007C20A6" w:rsidP="008862CF">
            <w:pPr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Content Area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C20A6" w:rsidRPr="000E66DE" w:rsidRDefault="007C20A6" w:rsidP="008862CF">
            <w:pPr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Code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7C20A6" w:rsidRPr="000E66DE" w:rsidRDefault="007C20A6" w:rsidP="001B6AB3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Testing Accommodation and Description</w:t>
            </w:r>
          </w:p>
          <w:p w:rsidR="007C20A6" w:rsidRPr="000E66DE" w:rsidRDefault="007C20A6" w:rsidP="001A1B85">
            <w:pPr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szCs w:val="24"/>
              </w:rPr>
              <w:t xml:space="preserve">(Refer to </w:t>
            </w:r>
            <w:hyperlink w:anchor="_Section_VI:_Descriptions" w:history="1">
              <w:r w:rsidR="00631EEE">
                <w:rPr>
                  <w:rStyle w:val="Hyperlink"/>
                  <w:rFonts w:cs="Times New Roman"/>
                  <w:i/>
                  <w:szCs w:val="24"/>
                </w:rPr>
                <w:t>Section V: Descriptions of Testing Accommodations Available to ELs</w:t>
              </w:r>
            </w:hyperlink>
            <w:r w:rsidR="001B6AB3" w:rsidRPr="000E66DE">
              <w:rPr>
                <w:rFonts w:cs="Times New Roman"/>
                <w:i/>
                <w:szCs w:val="24"/>
              </w:rPr>
              <w:t xml:space="preserve"> </w:t>
            </w:r>
            <w:r w:rsidR="001B6AB3" w:rsidRPr="000E66DE">
              <w:rPr>
                <w:rFonts w:cs="Times New Roman"/>
                <w:szCs w:val="24"/>
              </w:rPr>
              <w:t>for more information on these accommodations)</w:t>
            </w:r>
            <w:r w:rsidRPr="000E66DE">
              <w:rPr>
                <w:rFonts w:cs="Times New Roman"/>
                <w:szCs w:val="24"/>
              </w:rPr>
              <w:t>.</w:t>
            </w:r>
          </w:p>
        </w:tc>
      </w:tr>
      <w:tr w:rsidR="007C20A6" w:rsidRPr="000E66DE" w:rsidTr="00D8665B">
        <w:trPr>
          <w:trHeight w:val="3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C20A6" w:rsidRPr="000E66DE" w:rsidRDefault="007C20A6" w:rsidP="00D8665B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Direct Linguistic Testing Accommodations</w:t>
            </w:r>
          </w:p>
        </w:tc>
      </w:tr>
      <w:tr w:rsidR="007C20A6" w:rsidRPr="000E66DE" w:rsidTr="00AF14A5">
        <w:trPr>
          <w:trHeight w:val="51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H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Test Directions Delivery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66DE">
              <w:t>Written directions (in English only) to accompany oral test directions.</w:t>
            </w:r>
          </w:p>
        </w:tc>
      </w:tr>
      <w:tr w:rsidR="007C20A6" w:rsidRPr="000E66DE" w:rsidTr="00AF14A5">
        <w:trPr>
          <w:trHeight w:val="51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H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Read-Aloud Test</w:t>
            </w:r>
          </w:p>
          <w:p w:rsidR="007C20A6" w:rsidRPr="000E66DE" w:rsidRDefault="007C20A6" w:rsidP="00465A6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66DE">
              <w:t xml:space="preserve">Tests are read (in English only) to the student. </w:t>
            </w:r>
            <w:r w:rsidR="00465A64" w:rsidRPr="000E66DE">
              <w:t>M</w:t>
            </w:r>
            <w:r w:rsidRPr="000E66DE">
              <w:t>ust be recorded or proctored.</w:t>
            </w:r>
          </w:p>
        </w:tc>
      </w:tr>
      <w:tr w:rsidR="007C20A6" w:rsidRPr="000E66DE" w:rsidTr="00AF14A5">
        <w:trPr>
          <w:trHeight w:val="48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H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Audio Test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66DE">
              <w:t>A pre-recorded (in English only) version of the test items.</w:t>
            </w:r>
          </w:p>
        </w:tc>
      </w:tr>
      <w:tr w:rsidR="007C20A6" w:rsidRPr="000E66DE" w:rsidTr="00AF14A5">
        <w:trPr>
          <w:trHeight w:val="48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Read-Aloud </w:t>
            </w:r>
            <w:r w:rsidRPr="000E66DE">
              <w:rPr>
                <w:rFonts w:cs="Times New Roman"/>
                <w:b/>
                <w:i/>
                <w:szCs w:val="24"/>
              </w:rPr>
              <w:t xml:space="preserve">Reading </w:t>
            </w:r>
            <w:r w:rsidRPr="000E66DE">
              <w:rPr>
                <w:rFonts w:cs="Times New Roman"/>
                <w:b/>
                <w:szCs w:val="24"/>
              </w:rPr>
              <w:t>Test</w:t>
            </w:r>
            <w:r w:rsidR="009A1FD9" w:rsidRPr="000E66DE">
              <w:rPr>
                <w:rFonts w:cs="Times New Roman"/>
                <w:b/>
                <w:szCs w:val="24"/>
              </w:rPr>
              <w:t xml:space="preserve"> </w:t>
            </w:r>
          </w:p>
          <w:p w:rsidR="007C20A6" w:rsidRPr="000E66DE" w:rsidRDefault="007C20A6" w:rsidP="00DE3F9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66DE">
              <w:rPr>
                <w:i/>
              </w:rPr>
              <w:t xml:space="preserve">Reading </w:t>
            </w:r>
            <w:r w:rsidRPr="000E66DE">
              <w:t>test is read (in English only) to the student. Must be recorded or proctored. Student must meet specific criteria.</w:t>
            </w:r>
          </w:p>
        </w:tc>
      </w:tr>
      <w:tr w:rsidR="007C20A6" w:rsidRPr="000E66DE" w:rsidTr="00AF14A5">
        <w:trPr>
          <w:trHeight w:val="48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Audio </w:t>
            </w:r>
            <w:r w:rsidRPr="000E66DE">
              <w:rPr>
                <w:rFonts w:cs="Times New Roman"/>
                <w:b/>
                <w:i/>
                <w:szCs w:val="24"/>
              </w:rPr>
              <w:t>Reading</w:t>
            </w:r>
            <w:r w:rsidRPr="000E66DE">
              <w:rPr>
                <w:rFonts w:cs="Times New Roman"/>
                <w:b/>
                <w:szCs w:val="24"/>
              </w:rPr>
              <w:t xml:space="preserve"> Test</w:t>
            </w:r>
          </w:p>
          <w:p w:rsidR="007C20A6" w:rsidRPr="000E66DE" w:rsidRDefault="007C20A6" w:rsidP="00DE3F9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66DE">
              <w:t xml:space="preserve">A pre-recorded (in English only) version of the </w:t>
            </w:r>
            <w:r w:rsidRPr="000E66DE">
              <w:rPr>
                <w:i/>
              </w:rPr>
              <w:t>Reading</w:t>
            </w:r>
            <w:r w:rsidRPr="000E66DE">
              <w:t xml:space="preserve"> test items. Student must meet specific criteria.</w:t>
            </w:r>
          </w:p>
        </w:tc>
      </w:tr>
      <w:tr w:rsidR="007C20A6" w:rsidRPr="000E66DE" w:rsidTr="00AF1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H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R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</w:t>
            </w:r>
          </w:p>
        </w:tc>
        <w:tc>
          <w:tcPr>
            <w:tcW w:w="386" w:type="pct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517" w:type="pct"/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Bilingual Dictionary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66DE">
              <w:t xml:space="preserve">ELs may use a word-to-word bilingual dictionary. </w:t>
            </w:r>
          </w:p>
        </w:tc>
      </w:tr>
      <w:tr w:rsidR="007C20A6" w:rsidRPr="000E66DE" w:rsidTr="00AF1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 – SP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3517" w:type="pct"/>
            <w:tcBorders>
              <w:bottom w:val="single" w:sz="4" w:space="0" w:color="auto"/>
            </w:tcBorders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Dictation to a Scribe</w:t>
            </w:r>
            <w:r w:rsidRPr="000E66DE">
              <w:rPr>
                <w:rFonts w:cs="Times New Roman"/>
                <w:szCs w:val="24"/>
              </w:rPr>
              <w:t xml:space="preserve"> 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66DE">
              <w:t>Dictation (in English only) to a scribe (short-paper component only). Must be recorded or proctored. Requires transcription.</w:t>
            </w:r>
          </w:p>
        </w:tc>
      </w:tr>
      <w:tr w:rsidR="007C20A6" w:rsidRPr="000E66DE" w:rsidTr="00AF1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20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H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R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W - SP </w:t>
            </w:r>
          </w:p>
        </w:tc>
        <w:tc>
          <w:tcPr>
            <w:tcW w:w="386" w:type="pct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29</w:t>
            </w:r>
          </w:p>
        </w:tc>
        <w:tc>
          <w:tcPr>
            <w:tcW w:w="3517" w:type="pct"/>
            <w:vAlign w:val="center"/>
          </w:tcPr>
          <w:p w:rsidR="007C20A6" w:rsidRPr="000E66DE" w:rsidRDefault="007C20A6" w:rsidP="00805587">
            <w:pPr>
              <w:tabs>
                <w:tab w:val="num" w:pos="2160"/>
              </w:tabs>
              <w:spacing w:after="0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English Dictionary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18"/>
              </w:numPr>
            </w:pPr>
            <w:r w:rsidRPr="000E66DE">
              <w:rPr>
                <w:b/>
                <w:i/>
              </w:rPr>
              <w:t xml:space="preserve">Non-Writing </w:t>
            </w:r>
            <w:r w:rsidRPr="000E66DE">
              <w:rPr>
                <w:b/>
              </w:rPr>
              <w:t>Tests:</w:t>
            </w:r>
            <w:r w:rsidRPr="000E66DE">
              <w:t xml:space="preserve"> ELs may use a general English dictionary.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18"/>
              </w:numPr>
            </w:pPr>
            <w:r w:rsidRPr="000E66DE">
              <w:rPr>
                <w:b/>
                <w:i/>
              </w:rPr>
              <w:t>Writing</w:t>
            </w:r>
            <w:r w:rsidRPr="000E66DE">
              <w:rPr>
                <w:b/>
              </w:rPr>
              <w:t xml:space="preserve"> Tests:</w:t>
            </w:r>
            <w:r w:rsidRPr="000E66DE">
              <w:t xml:space="preserve"> Only permitted on short-paper component for Grade 8 </w:t>
            </w:r>
            <w:r w:rsidR="0073618E" w:rsidRPr="000E66DE">
              <w:t>and EOC Writing test (2010 SOL)</w:t>
            </w:r>
            <w:r w:rsidR="001B6AB3" w:rsidRPr="000E66DE">
              <w:t>.</w:t>
            </w:r>
          </w:p>
        </w:tc>
      </w:tr>
      <w:tr w:rsidR="007A358B" w:rsidRPr="000E66DE" w:rsidTr="00AF1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207" w:type="pct"/>
            <w:shd w:val="clear" w:color="auto" w:fill="808080" w:themeFill="background1" w:themeFillShade="80"/>
            <w:vAlign w:val="center"/>
          </w:tcPr>
          <w:p w:rsidR="007A358B" w:rsidRPr="000E66DE" w:rsidRDefault="007A358B" w:rsidP="008862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7A358B" w:rsidRPr="000E66DE" w:rsidRDefault="007A358B" w:rsidP="008862CF">
            <w:pPr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shd w:val="clear" w:color="auto" w:fill="808080" w:themeFill="background1" w:themeFillShade="80"/>
            <w:vAlign w:val="center"/>
          </w:tcPr>
          <w:p w:rsidR="007A358B" w:rsidRPr="000E66DE" w:rsidRDefault="007A358B" w:rsidP="008862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2" w:type="pct"/>
            <w:shd w:val="clear" w:color="auto" w:fill="808080" w:themeFill="background1" w:themeFillShade="80"/>
            <w:vAlign w:val="center"/>
          </w:tcPr>
          <w:p w:rsidR="007A358B" w:rsidRPr="000E66DE" w:rsidRDefault="007A358B" w:rsidP="008862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9" w:type="pct"/>
            <w:shd w:val="clear" w:color="auto" w:fill="808080" w:themeFill="background1" w:themeFillShade="80"/>
            <w:vAlign w:val="center"/>
          </w:tcPr>
          <w:p w:rsidR="007A358B" w:rsidRPr="000E66DE" w:rsidRDefault="007A358B" w:rsidP="008862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7A358B" w:rsidRPr="000E66DE" w:rsidRDefault="007A358B" w:rsidP="008862CF">
            <w:pPr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3517" w:type="pct"/>
          </w:tcPr>
          <w:p w:rsidR="00970C04" w:rsidRPr="000E66DE" w:rsidRDefault="00573D97" w:rsidP="00970C04">
            <w:pPr>
              <w:spacing w:after="0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Plain English Algebra I</w:t>
            </w:r>
            <w:r w:rsidR="007A358B" w:rsidRPr="000E66DE">
              <w:rPr>
                <w:rFonts w:cs="Times New Roman"/>
                <w:b/>
                <w:szCs w:val="24"/>
              </w:rPr>
              <w:t xml:space="preserve"> Test</w:t>
            </w:r>
            <w:r w:rsidR="005F308B" w:rsidRPr="000E66DE"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  <w:r w:rsidR="007A358B" w:rsidRPr="000E66DE">
              <w:rPr>
                <w:rFonts w:cs="Times New Roman"/>
                <w:szCs w:val="24"/>
              </w:rPr>
              <w:t xml:space="preserve"> </w:t>
            </w:r>
          </w:p>
          <w:p w:rsidR="007A358B" w:rsidRPr="000E66DE" w:rsidRDefault="002A0726" w:rsidP="00970C04">
            <w:pPr>
              <w:spacing w:after="0"/>
            </w:pPr>
            <w:r w:rsidRPr="000E66DE">
              <w:t xml:space="preserve">Applicable for </w:t>
            </w:r>
            <w:r w:rsidR="00DE3F9F" w:rsidRPr="000E66DE">
              <w:t xml:space="preserve">tests assessing the 2009 Mathematics Standards of Learning </w:t>
            </w:r>
            <w:r w:rsidR="009A1FD9" w:rsidRPr="000E66DE">
              <w:t xml:space="preserve">for </w:t>
            </w:r>
            <w:r w:rsidR="009A1FD9" w:rsidRPr="000E66DE">
              <w:rPr>
                <w:i/>
              </w:rPr>
              <w:t>Algebra I</w:t>
            </w:r>
            <w:r w:rsidR="009A1FD9" w:rsidRPr="000E66DE">
              <w:t xml:space="preserve"> </w:t>
            </w:r>
            <w:r w:rsidR="00DE3F9F" w:rsidRPr="000E66DE">
              <w:t>only.</w:t>
            </w:r>
            <w:r w:rsidR="00465A64" w:rsidRPr="000E66DE">
              <w:t xml:space="preserve"> </w:t>
            </w:r>
          </w:p>
          <w:p w:rsidR="007A358B" w:rsidRPr="000E66DE" w:rsidRDefault="007A358B" w:rsidP="0075617B">
            <w:pPr>
              <w:pStyle w:val="ListParagraph"/>
              <w:numPr>
                <w:ilvl w:val="0"/>
                <w:numId w:val="21"/>
              </w:numPr>
            </w:pPr>
            <w:r w:rsidRPr="000E66DE">
              <w:t xml:space="preserve">EL </w:t>
            </w:r>
            <w:r w:rsidR="0075617B" w:rsidRPr="000E66DE">
              <w:t>overall proficiency level</w:t>
            </w:r>
            <w:r w:rsidRPr="000E66DE">
              <w:t xml:space="preserve"> </w:t>
            </w:r>
            <w:r w:rsidR="00805587" w:rsidRPr="000E66DE">
              <w:t>must be between</w:t>
            </w:r>
            <w:r w:rsidR="0076668D" w:rsidRPr="000E66DE">
              <w:t>:</w:t>
            </w:r>
          </w:p>
          <w:p w:rsidR="0075617B" w:rsidRPr="000E66DE" w:rsidRDefault="0075617B" w:rsidP="0073618E">
            <w:pPr>
              <w:pStyle w:val="ListParagraph"/>
              <w:numPr>
                <w:ilvl w:val="1"/>
                <w:numId w:val="21"/>
              </w:numPr>
            </w:pPr>
            <w:r w:rsidRPr="000E66DE">
              <w:t>G</w:t>
            </w:r>
            <w:r w:rsidR="009A1FD9" w:rsidRPr="000E66DE">
              <w:t>rades 9-12 – 1.0 through 3.5</w:t>
            </w:r>
          </w:p>
          <w:p w:rsidR="0073618E" w:rsidRPr="000E66DE" w:rsidRDefault="0073618E" w:rsidP="0073618E">
            <w:pPr>
              <w:pStyle w:val="ListParagraph"/>
              <w:numPr>
                <w:ilvl w:val="0"/>
                <w:numId w:val="21"/>
              </w:numPr>
            </w:pPr>
            <w:r w:rsidRPr="000E66DE">
              <w:t xml:space="preserve">Students must meet specific criteria to use this accommodation. See </w:t>
            </w:r>
            <w:hyperlink w:anchor="_Plain_English_Mathematics" w:history="1">
              <w:r w:rsidR="00631EEE">
                <w:rPr>
                  <w:rStyle w:val="Hyperlink"/>
                </w:rPr>
                <w:t>Section V</w:t>
              </w:r>
            </w:hyperlink>
            <w:r w:rsidRPr="000E66DE">
              <w:t xml:space="preserve"> for more details.</w:t>
            </w:r>
          </w:p>
        </w:tc>
      </w:tr>
    </w:tbl>
    <w:p w:rsidR="00FB6148" w:rsidRPr="000E66DE" w:rsidRDefault="00FB6148">
      <w:r w:rsidRPr="000E66DE"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43"/>
        <w:gridCol w:w="390"/>
        <w:gridCol w:w="377"/>
        <w:gridCol w:w="486"/>
        <w:gridCol w:w="727"/>
        <w:gridCol w:w="6683"/>
      </w:tblGrid>
      <w:tr w:rsidR="007C20A6" w:rsidRPr="000E66DE" w:rsidTr="00805587">
        <w:trPr>
          <w:trHeight w:val="3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8C8" w:themeFill="background2" w:themeFillShade="E6"/>
            <w:vAlign w:val="center"/>
          </w:tcPr>
          <w:p w:rsidR="007C20A6" w:rsidRPr="000E66DE" w:rsidRDefault="007C20A6" w:rsidP="003F50FB">
            <w:pPr>
              <w:spacing w:after="0"/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 w:rsidRPr="000E66DE">
              <w:lastRenderedPageBreak/>
              <w:br w:type="page"/>
            </w:r>
            <w:r w:rsidRPr="000E66DE">
              <w:rPr>
                <w:rFonts w:cs="Times New Roman"/>
                <w:b/>
                <w:szCs w:val="24"/>
              </w:rPr>
              <w:t>Indirect Linguistic Testing Accommodations</w:t>
            </w:r>
          </w:p>
        </w:tc>
      </w:tr>
      <w:tr w:rsidR="007C20A6" w:rsidRPr="000E66DE" w:rsidTr="00FB6148">
        <w:trPr>
          <w:trHeight w:val="692"/>
        </w:trPr>
        <w:tc>
          <w:tcPr>
            <w:tcW w:w="20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H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R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7C20A6" w:rsidRPr="000E66DE" w:rsidRDefault="007C20A6" w:rsidP="00805587">
            <w:pPr>
              <w:tabs>
                <w:tab w:val="num" w:pos="2160"/>
              </w:tabs>
              <w:spacing w:after="0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Multiple Test Sessions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E66DE">
              <w:t xml:space="preserve">Testing over two or more school days. Some instances require a paper test. </w:t>
            </w:r>
            <w:r w:rsidRPr="000E66DE">
              <w:rPr>
                <w:u w:val="single"/>
              </w:rPr>
              <w:t xml:space="preserve">Multiple test sessions </w:t>
            </w:r>
            <w:proofErr w:type="gramStart"/>
            <w:r w:rsidRPr="000E66DE">
              <w:rPr>
                <w:u w:val="single"/>
              </w:rPr>
              <w:t>are not permitted</w:t>
            </w:r>
            <w:proofErr w:type="gramEnd"/>
            <w:r w:rsidRPr="000E66DE">
              <w:rPr>
                <w:u w:val="single"/>
              </w:rPr>
              <w:t xml:space="preserve"> on the short-paper component of the </w:t>
            </w:r>
            <w:r w:rsidRPr="000E66DE">
              <w:rPr>
                <w:i/>
                <w:u w:val="single"/>
              </w:rPr>
              <w:t>Writing</w:t>
            </w:r>
            <w:r w:rsidRPr="000E66DE">
              <w:rPr>
                <w:u w:val="single"/>
              </w:rPr>
              <w:t xml:space="preserve"> test. </w:t>
            </w:r>
          </w:p>
        </w:tc>
      </w:tr>
      <w:tr w:rsidR="007C20A6" w:rsidRPr="000E66DE" w:rsidTr="00FB6148">
        <w:trPr>
          <w:trHeight w:val="638"/>
        </w:trPr>
        <w:tc>
          <w:tcPr>
            <w:tcW w:w="20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H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R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7C20A6" w:rsidRPr="000E66DE" w:rsidRDefault="007C20A6" w:rsidP="00805587">
            <w:pPr>
              <w:tabs>
                <w:tab w:val="num" w:pos="2160"/>
              </w:tabs>
              <w:spacing w:after="0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Visual Aids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u w:val="single"/>
              </w:rPr>
            </w:pPr>
            <w:r w:rsidRPr="000E66DE">
              <w:t>Visual templates showing one word, sentence, line, or test item at a time. Code test accommodation 4 only when used on a paper test.</w:t>
            </w:r>
          </w:p>
        </w:tc>
      </w:tr>
      <w:tr w:rsidR="007C20A6" w:rsidRPr="000E66DE" w:rsidTr="00FB6148">
        <w:trPr>
          <w:trHeight w:val="863"/>
        </w:trPr>
        <w:tc>
          <w:tcPr>
            <w:tcW w:w="20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H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R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Examiner Records Responses</w:t>
            </w:r>
          </w:p>
          <w:p w:rsidR="007C20A6" w:rsidRPr="000E66DE" w:rsidRDefault="007C20A6" w:rsidP="00B7176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0E66DE">
              <w:t xml:space="preserve">Student marks in test booklet, responds verbally, points, or otherwise indicates a response.  </w:t>
            </w:r>
            <w:r w:rsidR="00B71763">
              <w:t>Must</w:t>
            </w:r>
            <w:r w:rsidRPr="000E66DE">
              <w:t xml:space="preserve"> be recorded or proctored. Requires transcription.</w:t>
            </w:r>
          </w:p>
        </w:tc>
      </w:tr>
      <w:tr w:rsidR="007C20A6" w:rsidRPr="000E66DE" w:rsidTr="00FB6148">
        <w:trPr>
          <w:trHeight w:val="566"/>
        </w:trPr>
        <w:tc>
          <w:tcPr>
            <w:tcW w:w="20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H 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M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R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W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>31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7C20A6" w:rsidRPr="000E66DE" w:rsidRDefault="007C20A6" w:rsidP="00805587">
            <w:pPr>
              <w:spacing w:after="0"/>
              <w:rPr>
                <w:rFonts w:cs="Times New Roman"/>
                <w:b/>
                <w:szCs w:val="24"/>
              </w:rPr>
            </w:pPr>
            <w:r w:rsidRPr="000E66DE">
              <w:rPr>
                <w:rFonts w:cs="Times New Roman"/>
                <w:b/>
                <w:szCs w:val="24"/>
              </w:rPr>
              <w:t xml:space="preserve">Flexible Schedule </w:t>
            </w:r>
          </w:p>
          <w:p w:rsidR="007C20A6" w:rsidRPr="000E66DE" w:rsidRDefault="007C20A6" w:rsidP="00805587">
            <w:pPr>
              <w:pStyle w:val="ListParagraph"/>
              <w:numPr>
                <w:ilvl w:val="0"/>
                <w:numId w:val="19"/>
              </w:numPr>
              <w:contextualSpacing/>
            </w:pPr>
            <w:r w:rsidRPr="000E66DE">
              <w:t xml:space="preserve">Testing with breaks requires the test to </w:t>
            </w:r>
            <w:proofErr w:type="gramStart"/>
            <w:r w:rsidRPr="000E66DE">
              <w:t>be completed</w:t>
            </w:r>
            <w:proofErr w:type="gramEnd"/>
            <w:r w:rsidRPr="000E66DE">
              <w:t xml:space="preserve"> within one school day.</w:t>
            </w:r>
            <w:r w:rsidR="00AF14A5" w:rsidRPr="000E66DE">
              <w:t xml:space="preserve"> </w:t>
            </w:r>
          </w:p>
        </w:tc>
      </w:tr>
    </w:tbl>
    <w:p w:rsidR="008112D1" w:rsidRPr="000E66DE" w:rsidRDefault="008112D1" w:rsidP="008112D1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Key for Allowable Accommodations by Content Area"/>
      </w:tblPr>
      <w:tblGrid>
        <w:gridCol w:w="714"/>
        <w:gridCol w:w="8636"/>
      </w:tblGrid>
      <w:tr w:rsidR="008112D1" w:rsidRPr="000E66DE" w:rsidTr="00BD0CA9">
        <w:trPr>
          <w:tblHeader/>
        </w:trPr>
        <w:tc>
          <w:tcPr>
            <w:tcW w:w="722" w:type="dxa"/>
          </w:tcPr>
          <w:p w:rsidR="008112D1" w:rsidRPr="000E66DE" w:rsidRDefault="008112D1" w:rsidP="008862CF">
            <w:pPr>
              <w:jc w:val="center"/>
              <w:rPr>
                <w:szCs w:val="24"/>
              </w:rPr>
            </w:pPr>
            <w:bookmarkStart w:id="2" w:name="_Appendix_C"/>
            <w:bookmarkEnd w:id="2"/>
          </w:p>
        </w:tc>
        <w:tc>
          <w:tcPr>
            <w:tcW w:w="8854" w:type="dxa"/>
          </w:tcPr>
          <w:p w:rsidR="008112D1" w:rsidRPr="000E66DE" w:rsidRDefault="00BD0CA9" w:rsidP="008862CF">
            <w:pPr>
              <w:rPr>
                <w:szCs w:val="24"/>
              </w:rPr>
            </w:pPr>
            <w:r w:rsidRPr="000E66DE">
              <w:rPr>
                <w:b/>
                <w:szCs w:val="24"/>
              </w:rPr>
              <w:t>Key</w:t>
            </w:r>
          </w:p>
        </w:tc>
      </w:tr>
      <w:tr w:rsidR="00BD0CA9" w:rsidRPr="000E66DE" w:rsidTr="00BD0CA9">
        <w:tc>
          <w:tcPr>
            <w:tcW w:w="722" w:type="dxa"/>
          </w:tcPr>
          <w:p w:rsidR="00BD0CA9" w:rsidRPr="000E66DE" w:rsidRDefault="00BD0CA9" w:rsidP="00F7340A">
            <w:pPr>
              <w:jc w:val="center"/>
              <w:rPr>
                <w:szCs w:val="24"/>
              </w:rPr>
            </w:pPr>
            <w:r w:rsidRPr="000E66DE">
              <w:rPr>
                <w:b/>
                <w:szCs w:val="24"/>
              </w:rPr>
              <w:t>H</w:t>
            </w:r>
          </w:p>
        </w:tc>
        <w:tc>
          <w:tcPr>
            <w:tcW w:w="8854" w:type="dxa"/>
          </w:tcPr>
          <w:p w:rsidR="00BD0CA9" w:rsidRPr="000E66DE" w:rsidRDefault="00BD0CA9" w:rsidP="00F7340A">
            <w:pPr>
              <w:rPr>
                <w:szCs w:val="24"/>
              </w:rPr>
            </w:pPr>
            <w:r w:rsidRPr="000E66DE">
              <w:rPr>
                <w:szCs w:val="24"/>
              </w:rPr>
              <w:t xml:space="preserve">The testing accommodation is available for the </w:t>
            </w:r>
            <w:r w:rsidRPr="000E66DE">
              <w:rPr>
                <w:i/>
                <w:szCs w:val="24"/>
              </w:rPr>
              <w:t>History/Social Studies</w:t>
            </w:r>
            <w:r w:rsidRPr="000E66DE">
              <w:rPr>
                <w:szCs w:val="24"/>
              </w:rPr>
              <w:t xml:space="preserve"> test.</w:t>
            </w:r>
          </w:p>
        </w:tc>
      </w:tr>
      <w:tr w:rsidR="00BD0CA9" w:rsidRPr="000E66DE" w:rsidTr="00BD0CA9">
        <w:tc>
          <w:tcPr>
            <w:tcW w:w="722" w:type="dxa"/>
          </w:tcPr>
          <w:p w:rsidR="00BD0CA9" w:rsidRPr="000E66DE" w:rsidRDefault="00BD0CA9" w:rsidP="008862CF">
            <w:pPr>
              <w:jc w:val="center"/>
              <w:rPr>
                <w:b/>
                <w:szCs w:val="24"/>
              </w:rPr>
            </w:pPr>
            <w:r w:rsidRPr="000E66DE">
              <w:rPr>
                <w:b/>
                <w:szCs w:val="24"/>
              </w:rPr>
              <w:t>M</w:t>
            </w:r>
          </w:p>
        </w:tc>
        <w:tc>
          <w:tcPr>
            <w:tcW w:w="8854" w:type="dxa"/>
          </w:tcPr>
          <w:p w:rsidR="00BD0CA9" w:rsidRPr="000E66DE" w:rsidRDefault="00BD0CA9" w:rsidP="008862CF">
            <w:pPr>
              <w:rPr>
                <w:szCs w:val="24"/>
              </w:rPr>
            </w:pPr>
            <w:r w:rsidRPr="000E66DE">
              <w:rPr>
                <w:szCs w:val="24"/>
              </w:rPr>
              <w:t xml:space="preserve">The testing accommodation is available for the </w:t>
            </w:r>
            <w:r w:rsidRPr="000E66DE">
              <w:rPr>
                <w:i/>
                <w:szCs w:val="24"/>
              </w:rPr>
              <w:t>Mathematics</w:t>
            </w:r>
            <w:r w:rsidRPr="000E66DE">
              <w:rPr>
                <w:szCs w:val="24"/>
              </w:rPr>
              <w:t xml:space="preserve"> test.</w:t>
            </w:r>
          </w:p>
        </w:tc>
      </w:tr>
      <w:tr w:rsidR="00BD0CA9" w:rsidRPr="000E66DE" w:rsidTr="00BD0CA9">
        <w:tc>
          <w:tcPr>
            <w:tcW w:w="722" w:type="dxa"/>
          </w:tcPr>
          <w:p w:rsidR="00BD0CA9" w:rsidRPr="000E66DE" w:rsidRDefault="00BD0CA9" w:rsidP="008862CF">
            <w:pPr>
              <w:jc w:val="center"/>
              <w:rPr>
                <w:szCs w:val="24"/>
              </w:rPr>
            </w:pPr>
            <w:r w:rsidRPr="000E66DE">
              <w:rPr>
                <w:b/>
                <w:szCs w:val="24"/>
              </w:rPr>
              <w:t>R</w:t>
            </w:r>
          </w:p>
        </w:tc>
        <w:tc>
          <w:tcPr>
            <w:tcW w:w="8854" w:type="dxa"/>
          </w:tcPr>
          <w:p w:rsidR="00BD0CA9" w:rsidRPr="000E66DE" w:rsidRDefault="00BD0CA9" w:rsidP="008862CF">
            <w:pPr>
              <w:rPr>
                <w:szCs w:val="24"/>
              </w:rPr>
            </w:pPr>
            <w:r w:rsidRPr="000E66DE">
              <w:rPr>
                <w:szCs w:val="24"/>
              </w:rPr>
              <w:t xml:space="preserve">The testing accommodation is available for the </w:t>
            </w:r>
            <w:r w:rsidRPr="000E66DE">
              <w:rPr>
                <w:i/>
                <w:szCs w:val="24"/>
              </w:rPr>
              <w:t>Reading</w:t>
            </w:r>
            <w:r w:rsidRPr="000E66DE">
              <w:rPr>
                <w:szCs w:val="24"/>
              </w:rPr>
              <w:t xml:space="preserve"> test.</w:t>
            </w:r>
          </w:p>
        </w:tc>
      </w:tr>
      <w:tr w:rsidR="00BD0CA9" w:rsidRPr="000E66DE" w:rsidTr="00BD0CA9">
        <w:tc>
          <w:tcPr>
            <w:tcW w:w="722" w:type="dxa"/>
          </w:tcPr>
          <w:p w:rsidR="00BD0CA9" w:rsidRPr="000E66DE" w:rsidRDefault="00BD0CA9" w:rsidP="008862CF">
            <w:pPr>
              <w:jc w:val="center"/>
              <w:rPr>
                <w:szCs w:val="24"/>
              </w:rPr>
            </w:pPr>
            <w:r w:rsidRPr="000E66DE">
              <w:rPr>
                <w:b/>
                <w:szCs w:val="24"/>
              </w:rPr>
              <w:t>S</w:t>
            </w:r>
          </w:p>
        </w:tc>
        <w:tc>
          <w:tcPr>
            <w:tcW w:w="8854" w:type="dxa"/>
          </w:tcPr>
          <w:p w:rsidR="00BD0CA9" w:rsidRPr="000E66DE" w:rsidRDefault="00BD0CA9" w:rsidP="008862CF">
            <w:pPr>
              <w:rPr>
                <w:szCs w:val="24"/>
              </w:rPr>
            </w:pPr>
            <w:r w:rsidRPr="000E66DE">
              <w:rPr>
                <w:szCs w:val="24"/>
              </w:rPr>
              <w:t xml:space="preserve">The testing accommodation is available for the </w:t>
            </w:r>
            <w:r w:rsidRPr="000E66DE">
              <w:rPr>
                <w:i/>
                <w:szCs w:val="24"/>
              </w:rPr>
              <w:t>Science</w:t>
            </w:r>
            <w:r w:rsidRPr="000E66DE">
              <w:rPr>
                <w:szCs w:val="24"/>
              </w:rPr>
              <w:t xml:space="preserve"> test.</w:t>
            </w:r>
          </w:p>
        </w:tc>
      </w:tr>
      <w:tr w:rsidR="00BD0CA9" w:rsidRPr="000E66DE" w:rsidTr="00BD0CA9">
        <w:tc>
          <w:tcPr>
            <w:tcW w:w="722" w:type="dxa"/>
          </w:tcPr>
          <w:p w:rsidR="00BD0CA9" w:rsidRPr="000E66DE" w:rsidRDefault="00BD0CA9" w:rsidP="008862CF">
            <w:pPr>
              <w:jc w:val="center"/>
              <w:rPr>
                <w:szCs w:val="24"/>
              </w:rPr>
            </w:pPr>
            <w:r w:rsidRPr="000E66DE">
              <w:rPr>
                <w:b/>
                <w:szCs w:val="24"/>
              </w:rPr>
              <w:t>W</w:t>
            </w:r>
          </w:p>
        </w:tc>
        <w:tc>
          <w:tcPr>
            <w:tcW w:w="8854" w:type="dxa"/>
          </w:tcPr>
          <w:p w:rsidR="00BD0CA9" w:rsidRPr="000E66DE" w:rsidRDefault="00BD0CA9" w:rsidP="008862CF">
            <w:pPr>
              <w:rPr>
                <w:szCs w:val="24"/>
              </w:rPr>
            </w:pPr>
            <w:r w:rsidRPr="000E66DE">
              <w:rPr>
                <w:szCs w:val="24"/>
              </w:rPr>
              <w:t xml:space="preserve">The testing accommodation is available for the </w:t>
            </w:r>
            <w:r w:rsidRPr="000E66DE">
              <w:rPr>
                <w:i/>
                <w:szCs w:val="24"/>
              </w:rPr>
              <w:t>Writing</w:t>
            </w:r>
            <w:r w:rsidRPr="000E66DE">
              <w:rPr>
                <w:szCs w:val="24"/>
              </w:rPr>
              <w:t xml:space="preserve"> test. (MC: multiple-choice/technology enhanced item (TEI) component. SP: short-paper component. Note: Paper/pencil </w:t>
            </w:r>
            <w:r w:rsidRPr="000E66DE">
              <w:rPr>
                <w:i/>
                <w:szCs w:val="24"/>
              </w:rPr>
              <w:t>Writing</w:t>
            </w:r>
            <w:r w:rsidRPr="000E66DE">
              <w:rPr>
                <w:szCs w:val="24"/>
              </w:rPr>
              <w:t xml:space="preserve"> tests do not include TEI.)</w:t>
            </w:r>
          </w:p>
        </w:tc>
      </w:tr>
      <w:tr w:rsidR="00BD0CA9" w:rsidRPr="000E66DE" w:rsidTr="00BD0CA9">
        <w:tc>
          <w:tcPr>
            <w:tcW w:w="722" w:type="dxa"/>
            <w:shd w:val="clear" w:color="auto" w:fill="808080" w:themeFill="background1" w:themeFillShade="80"/>
          </w:tcPr>
          <w:p w:rsidR="00BD0CA9" w:rsidRPr="000E66DE" w:rsidRDefault="00BD0CA9" w:rsidP="008862CF">
            <w:pPr>
              <w:rPr>
                <w:szCs w:val="24"/>
              </w:rPr>
            </w:pPr>
          </w:p>
        </w:tc>
        <w:tc>
          <w:tcPr>
            <w:tcW w:w="8854" w:type="dxa"/>
          </w:tcPr>
          <w:p w:rsidR="00BD0CA9" w:rsidRPr="000E66DE" w:rsidRDefault="00BD0CA9" w:rsidP="008862CF">
            <w:pPr>
              <w:rPr>
                <w:szCs w:val="24"/>
              </w:rPr>
            </w:pPr>
            <w:r w:rsidRPr="000E66DE">
              <w:rPr>
                <w:szCs w:val="24"/>
              </w:rPr>
              <w:t xml:space="preserve">The testing accommodation is </w:t>
            </w:r>
            <w:r w:rsidRPr="000E66DE">
              <w:rPr>
                <w:szCs w:val="24"/>
                <w:u w:val="single"/>
              </w:rPr>
              <w:t>not</w:t>
            </w:r>
            <w:r w:rsidRPr="000E66DE">
              <w:rPr>
                <w:szCs w:val="24"/>
              </w:rPr>
              <w:t xml:space="preserve"> available for the content area.</w:t>
            </w:r>
          </w:p>
        </w:tc>
      </w:tr>
    </w:tbl>
    <w:p w:rsidR="00805587" w:rsidRPr="000E66DE" w:rsidRDefault="00805587" w:rsidP="00805587">
      <w:pPr>
        <w:spacing w:after="0"/>
        <w:contextualSpacing/>
        <w:rPr>
          <w:rFonts w:cs="Times New Roman"/>
          <w:szCs w:val="24"/>
          <w:vertAlign w:val="superscript"/>
        </w:rPr>
      </w:pPr>
    </w:p>
    <w:p w:rsidR="00DE3F9F" w:rsidRPr="000E66DE" w:rsidRDefault="00DE3F9F" w:rsidP="00DE3F9F">
      <w:pPr>
        <w:contextualSpacing/>
        <w:rPr>
          <w:rFonts w:cs="Times New Roman"/>
          <w:szCs w:val="24"/>
        </w:rPr>
      </w:pPr>
      <w:bookmarkStart w:id="3" w:name="_GoBack"/>
      <w:bookmarkEnd w:id="3"/>
    </w:p>
    <w:sectPr w:rsidR="00DE3F9F" w:rsidRPr="000E66DE" w:rsidSect="004B62FB">
      <w:footnotePr>
        <w:numFmt w:val="chicago"/>
      </w:footnotePr>
      <w:pgSz w:w="12240" w:h="15840"/>
      <w:pgMar w:top="1440" w:right="1440" w:bottom="1440" w:left="1440" w:header="720" w:footer="144" w:gutter="0"/>
      <w:pgBorders w:display="firstPage" w:offsetFrom="page">
        <w:top w:val="twistedLines1" w:sz="28" w:space="24" w:color="2A495E" w:themeColor="accent6" w:themeShade="80"/>
        <w:left w:val="twistedLines1" w:sz="28" w:space="24" w:color="2A495E" w:themeColor="accent6" w:themeShade="80"/>
        <w:bottom w:val="twistedLines1" w:sz="28" w:space="24" w:color="2A495E" w:themeColor="accent6" w:themeShade="80"/>
        <w:right w:val="twistedLines1" w:sz="28" w:space="24" w:color="2A495E" w:themeColor="accent6" w:themeShade="80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0B" w:rsidRDefault="00610C0B" w:rsidP="00703A73">
      <w:pPr>
        <w:spacing w:after="0" w:line="240" w:lineRule="auto"/>
      </w:pPr>
      <w:r>
        <w:separator/>
      </w:r>
    </w:p>
  </w:endnote>
  <w:endnote w:type="continuationSeparator" w:id="0">
    <w:p w:rsidR="00610C0B" w:rsidRDefault="00610C0B" w:rsidP="0070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0B" w:rsidRDefault="00610C0B" w:rsidP="00703A73">
      <w:pPr>
        <w:spacing w:after="0" w:line="240" w:lineRule="auto"/>
      </w:pPr>
      <w:r>
        <w:separator/>
      </w:r>
    </w:p>
  </w:footnote>
  <w:footnote w:type="continuationSeparator" w:id="0">
    <w:p w:rsidR="00610C0B" w:rsidRDefault="00610C0B" w:rsidP="0070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D88"/>
    <w:multiLevelType w:val="hybridMultilevel"/>
    <w:tmpl w:val="26A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E41"/>
    <w:multiLevelType w:val="hybridMultilevel"/>
    <w:tmpl w:val="714CE96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46E8"/>
    <w:multiLevelType w:val="hybridMultilevel"/>
    <w:tmpl w:val="F99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2656"/>
    <w:multiLevelType w:val="hybridMultilevel"/>
    <w:tmpl w:val="6BF6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06B11C">
      <w:start w:val="1"/>
      <w:numFmt w:val="lowerRoman"/>
      <w:lvlText w:val="%2)"/>
      <w:lvlJc w:val="left"/>
      <w:pPr>
        <w:ind w:left="1800" w:hanging="720"/>
      </w:pPr>
      <w:rPr>
        <w:rFonts w:hint="default"/>
        <w:b w:val="0"/>
      </w:rPr>
    </w:lvl>
    <w:lvl w:ilvl="2" w:tplc="FDC88936">
      <w:start w:val="1"/>
      <w:numFmt w:val="upp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95C"/>
    <w:multiLevelType w:val="hybridMultilevel"/>
    <w:tmpl w:val="434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5BC1"/>
    <w:multiLevelType w:val="hybridMultilevel"/>
    <w:tmpl w:val="6ED6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5796"/>
    <w:multiLevelType w:val="hybridMultilevel"/>
    <w:tmpl w:val="4F026B56"/>
    <w:lvl w:ilvl="0" w:tplc="36E41CDA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F3251"/>
    <w:multiLevelType w:val="hybridMultilevel"/>
    <w:tmpl w:val="AA228580"/>
    <w:lvl w:ilvl="0" w:tplc="D10E9E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290"/>
    <w:multiLevelType w:val="hybridMultilevel"/>
    <w:tmpl w:val="A6D85AEA"/>
    <w:lvl w:ilvl="0" w:tplc="161EE14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7269"/>
    <w:multiLevelType w:val="hybridMultilevel"/>
    <w:tmpl w:val="E6A2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7190"/>
    <w:multiLevelType w:val="hybridMultilevel"/>
    <w:tmpl w:val="F2568FAC"/>
    <w:lvl w:ilvl="0" w:tplc="43BCD77C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1B84"/>
    <w:multiLevelType w:val="hybridMultilevel"/>
    <w:tmpl w:val="BAAE2E84"/>
    <w:lvl w:ilvl="0" w:tplc="D10E9E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96A69"/>
    <w:multiLevelType w:val="hybridMultilevel"/>
    <w:tmpl w:val="2D3CB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7272D"/>
    <w:multiLevelType w:val="hybridMultilevel"/>
    <w:tmpl w:val="6150CC50"/>
    <w:lvl w:ilvl="0" w:tplc="0C08105A">
      <w:start w:val="2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D463B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D46C7"/>
    <w:multiLevelType w:val="hybridMultilevel"/>
    <w:tmpl w:val="11C0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468A5"/>
    <w:multiLevelType w:val="hybridMultilevel"/>
    <w:tmpl w:val="BED6BA46"/>
    <w:lvl w:ilvl="0" w:tplc="36E41CDA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47EB9"/>
    <w:multiLevelType w:val="hybridMultilevel"/>
    <w:tmpl w:val="AB06BA8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0187E"/>
    <w:multiLevelType w:val="hybridMultilevel"/>
    <w:tmpl w:val="09E4AD3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F356F"/>
    <w:multiLevelType w:val="hybridMultilevel"/>
    <w:tmpl w:val="4EBCE7A0"/>
    <w:lvl w:ilvl="0" w:tplc="36E41CDA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322C5"/>
    <w:multiLevelType w:val="hybridMultilevel"/>
    <w:tmpl w:val="0D28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21336"/>
    <w:multiLevelType w:val="hybridMultilevel"/>
    <w:tmpl w:val="633C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15B99"/>
    <w:multiLevelType w:val="hybridMultilevel"/>
    <w:tmpl w:val="AF82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1776A"/>
    <w:multiLevelType w:val="hybridMultilevel"/>
    <w:tmpl w:val="C910EB80"/>
    <w:lvl w:ilvl="0" w:tplc="3466AFB8">
      <w:start w:val="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A067B"/>
    <w:multiLevelType w:val="multilevel"/>
    <w:tmpl w:val="742E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057502"/>
    <w:multiLevelType w:val="hybridMultilevel"/>
    <w:tmpl w:val="11741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970E6"/>
    <w:multiLevelType w:val="hybridMultilevel"/>
    <w:tmpl w:val="2B4EA088"/>
    <w:lvl w:ilvl="0" w:tplc="D10E9E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912E25"/>
    <w:multiLevelType w:val="hybridMultilevel"/>
    <w:tmpl w:val="00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C775A"/>
    <w:multiLevelType w:val="hybridMultilevel"/>
    <w:tmpl w:val="1BC84B7E"/>
    <w:lvl w:ilvl="0" w:tplc="36E41CDA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B5261"/>
    <w:multiLevelType w:val="hybridMultilevel"/>
    <w:tmpl w:val="18B8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22700"/>
    <w:multiLevelType w:val="hybridMultilevel"/>
    <w:tmpl w:val="DE9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029C1"/>
    <w:multiLevelType w:val="multilevel"/>
    <w:tmpl w:val="167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4943EE"/>
    <w:multiLevelType w:val="hybridMultilevel"/>
    <w:tmpl w:val="D93682D4"/>
    <w:lvl w:ilvl="0" w:tplc="36E41CDA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20422"/>
    <w:multiLevelType w:val="hybridMultilevel"/>
    <w:tmpl w:val="76F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962"/>
    <w:multiLevelType w:val="hybridMultilevel"/>
    <w:tmpl w:val="5E24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F435A"/>
    <w:multiLevelType w:val="hybridMultilevel"/>
    <w:tmpl w:val="3EC802D4"/>
    <w:lvl w:ilvl="0" w:tplc="36E41CDA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C0AE5"/>
    <w:multiLevelType w:val="hybridMultilevel"/>
    <w:tmpl w:val="4644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65B3C"/>
    <w:multiLevelType w:val="hybridMultilevel"/>
    <w:tmpl w:val="8C089C2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17D8A"/>
    <w:multiLevelType w:val="hybridMultilevel"/>
    <w:tmpl w:val="E37CC6D2"/>
    <w:lvl w:ilvl="0" w:tplc="D10E9E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C39C2"/>
    <w:multiLevelType w:val="hybridMultilevel"/>
    <w:tmpl w:val="22BE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97D63"/>
    <w:multiLevelType w:val="hybridMultilevel"/>
    <w:tmpl w:val="E7FC6D5C"/>
    <w:lvl w:ilvl="0" w:tplc="E084B84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8B6D6F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25E65"/>
    <w:multiLevelType w:val="hybridMultilevel"/>
    <w:tmpl w:val="317C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367BD"/>
    <w:multiLevelType w:val="hybridMultilevel"/>
    <w:tmpl w:val="515A66B0"/>
    <w:lvl w:ilvl="0" w:tplc="D41AA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EA0C4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C2BCD"/>
    <w:multiLevelType w:val="hybridMultilevel"/>
    <w:tmpl w:val="2B1881C0"/>
    <w:lvl w:ilvl="0" w:tplc="980A47A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39"/>
  </w:num>
  <w:num w:numId="5">
    <w:abstractNumId w:val="13"/>
  </w:num>
  <w:num w:numId="6">
    <w:abstractNumId w:val="43"/>
  </w:num>
  <w:num w:numId="7">
    <w:abstractNumId w:val="29"/>
  </w:num>
  <w:num w:numId="8">
    <w:abstractNumId w:val="3"/>
  </w:num>
  <w:num w:numId="9">
    <w:abstractNumId w:val="42"/>
  </w:num>
  <w:num w:numId="10">
    <w:abstractNumId w:val="21"/>
  </w:num>
  <w:num w:numId="11">
    <w:abstractNumId w:val="6"/>
  </w:num>
  <w:num w:numId="12">
    <w:abstractNumId w:val="18"/>
  </w:num>
  <w:num w:numId="13">
    <w:abstractNumId w:val="2"/>
  </w:num>
  <w:num w:numId="14">
    <w:abstractNumId w:val="26"/>
  </w:num>
  <w:num w:numId="15">
    <w:abstractNumId w:val="40"/>
  </w:num>
  <w:num w:numId="16">
    <w:abstractNumId w:val="20"/>
  </w:num>
  <w:num w:numId="17">
    <w:abstractNumId w:val="35"/>
  </w:num>
  <w:num w:numId="18">
    <w:abstractNumId w:val="25"/>
  </w:num>
  <w:num w:numId="19">
    <w:abstractNumId w:val="7"/>
  </w:num>
  <w:num w:numId="20">
    <w:abstractNumId w:val="11"/>
  </w:num>
  <w:num w:numId="21">
    <w:abstractNumId w:val="37"/>
  </w:num>
  <w:num w:numId="22">
    <w:abstractNumId w:val="27"/>
  </w:num>
  <w:num w:numId="23">
    <w:abstractNumId w:val="33"/>
  </w:num>
  <w:num w:numId="24">
    <w:abstractNumId w:val="22"/>
  </w:num>
  <w:num w:numId="25">
    <w:abstractNumId w:val="24"/>
  </w:num>
  <w:num w:numId="26">
    <w:abstractNumId w:val="41"/>
  </w:num>
  <w:num w:numId="27">
    <w:abstractNumId w:val="9"/>
  </w:num>
  <w:num w:numId="28">
    <w:abstractNumId w:val="10"/>
  </w:num>
  <w:num w:numId="29">
    <w:abstractNumId w:val="1"/>
  </w:num>
  <w:num w:numId="30">
    <w:abstractNumId w:val="17"/>
  </w:num>
  <w:num w:numId="31">
    <w:abstractNumId w:val="8"/>
  </w:num>
  <w:num w:numId="32">
    <w:abstractNumId w:val="14"/>
  </w:num>
  <w:num w:numId="33">
    <w:abstractNumId w:val="38"/>
  </w:num>
  <w:num w:numId="34">
    <w:abstractNumId w:val="31"/>
  </w:num>
  <w:num w:numId="35">
    <w:abstractNumId w:val="15"/>
  </w:num>
  <w:num w:numId="36">
    <w:abstractNumId w:val="34"/>
  </w:num>
  <w:num w:numId="37">
    <w:abstractNumId w:val="36"/>
  </w:num>
  <w:num w:numId="38">
    <w:abstractNumId w:val="16"/>
  </w:num>
  <w:num w:numId="39">
    <w:abstractNumId w:val="4"/>
  </w:num>
  <w:num w:numId="40">
    <w:abstractNumId w:val="5"/>
  </w:num>
  <w:num w:numId="41">
    <w:abstractNumId w:val="32"/>
  </w:num>
  <w:num w:numId="42">
    <w:abstractNumId w:val="19"/>
  </w:num>
  <w:num w:numId="43">
    <w:abstractNumId w:val="1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C"/>
    <w:rsid w:val="00010E56"/>
    <w:rsid w:val="000152FE"/>
    <w:rsid w:val="00016179"/>
    <w:rsid w:val="00032D6C"/>
    <w:rsid w:val="00032EF3"/>
    <w:rsid w:val="0003649A"/>
    <w:rsid w:val="000578B9"/>
    <w:rsid w:val="00066049"/>
    <w:rsid w:val="00066EA5"/>
    <w:rsid w:val="000822DB"/>
    <w:rsid w:val="00084983"/>
    <w:rsid w:val="00085A6C"/>
    <w:rsid w:val="000B028A"/>
    <w:rsid w:val="000B075B"/>
    <w:rsid w:val="000C2853"/>
    <w:rsid w:val="000C649B"/>
    <w:rsid w:val="000D01E3"/>
    <w:rsid w:val="000E66DE"/>
    <w:rsid w:val="000F600F"/>
    <w:rsid w:val="00101C75"/>
    <w:rsid w:val="001341BF"/>
    <w:rsid w:val="00151D9F"/>
    <w:rsid w:val="00154445"/>
    <w:rsid w:val="00171955"/>
    <w:rsid w:val="00187434"/>
    <w:rsid w:val="00196187"/>
    <w:rsid w:val="001A1B85"/>
    <w:rsid w:val="001A34A1"/>
    <w:rsid w:val="001B6AB3"/>
    <w:rsid w:val="001C3313"/>
    <w:rsid w:val="001C3596"/>
    <w:rsid w:val="001C7671"/>
    <w:rsid w:val="001D0F6E"/>
    <w:rsid w:val="001E6BE1"/>
    <w:rsid w:val="001F5F7E"/>
    <w:rsid w:val="0021076E"/>
    <w:rsid w:val="00210EA9"/>
    <w:rsid w:val="00226C66"/>
    <w:rsid w:val="00244DC8"/>
    <w:rsid w:val="002576CD"/>
    <w:rsid w:val="002601FB"/>
    <w:rsid w:val="002656FB"/>
    <w:rsid w:val="002951B4"/>
    <w:rsid w:val="002A0726"/>
    <w:rsid w:val="002C2744"/>
    <w:rsid w:val="002E10C0"/>
    <w:rsid w:val="002F7894"/>
    <w:rsid w:val="003278EC"/>
    <w:rsid w:val="003569A2"/>
    <w:rsid w:val="00366ED2"/>
    <w:rsid w:val="00380AF2"/>
    <w:rsid w:val="003A40F9"/>
    <w:rsid w:val="003A7F31"/>
    <w:rsid w:val="003B5FA4"/>
    <w:rsid w:val="003C6F13"/>
    <w:rsid w:val="003D136B"/>
    <w:rsid w:val="003F4837"/>
    <w:rsid w:val="003F50FB"/>
    <w:rsid w:val="00406A92"/>
    <w:rsid w:val="0042132D"/>
    <w:rsid w:val="00425F55"/>
    <w:rsid w:val="00433D79"/>
    <w:rsid w:val="00440E4A"/>
    <w:rsid w:val="00465A64"/>
    <w:rsid w:val="004748CD"/>
    <w:rsid w:val="00486251"/>
    <w:rsid w:val="004A16E9"/>
    <w:rsid w:val="004B62FB"/>
    <w:rsid w:val="004B690C"/>
    <w:rsid w:val="004C111E"/>
    <w:rsid w:val="004D1033"/>
    <w:rsid w:val="004F3944"/>
    <w:rsid w:val="005011CB"/>
    <w:rsid w:val="005016A7"/>
    <w:rsid w:val="00516199"/>
    <w:rsid w:val="00527241"/>
    <w:rsid w:val="005674C2"/>
    <w:rsid w:val="005707AE"/>
    <w:rsid w:val="00573D97"/>
    <w:rsid w:val="00577AB4"/>
    <w:rsid w:val="00585FEB"/>
    <w:rsid w:val="00596F38"/>
    <w:rsid w:val="005A2C66"/>
    <w:rsid w:val="005B3B0D"/>
    <w:rsid w:val="005C3BAD"/>
    <w:rsid w:val="005F308B"/>
    <w:rsid w:val="005F7963"/>
    <w:rsid w:val="00603D95"/>
    <w:rsid w:val="00610C0B"/>
    <w:rsid w:val="006179C8"/>
    <w:rsid w:val="00631EEE"/>
    <w:rsid w:val="00636BD5"/>
    <w:rsid w:val="006416F1"/>
    <w:rsid w:val="00645304"/>
    <w:rsid w:val="00657692"/>
    <w:rsid w:val="00666119"/>
    <w:rsid w:val="00672E53"/>
    <w:rsid w:val="00675DE1"/>
    <w:rsid w:val="00681F9C"/>
    <w:rsid w:val="0068752E"/>
    <w:rsid w:val="006C33C5"/>
    <w:rsid w:val="006D6167"/>
    <w:rsid w:val="006E04FD"/>
    <w:rsid w:val="006F0FAC"/>
    <w:rsid w:val="0070349E"/>
    <w:rsid w:val="00703A73"/>
    <w:rsid w:val="00726499"/>
    <w:rsid w:val="0073618E"/>
    <w:rsid w:val="0075617B"/>
    <w:rsid w:val="00765878"/>
    <w:rsid w:val="0076668D"/>
    <w:rsid w:val="0076775A"/>
    <w:rsid w:val="0077062D"/>
    <w:rsid w:val="007719F7"/>
    <w:rsid w:val="00773325"/>
    <w:rsid w:val="00785103"/>
    <w:rsid w:val="007A0144"/>
    <w:rsid w:val="007A1BD2"/>
    <w:rsid w:val="007A358B"/>
    <w:rsid w:val="007A5D71"/>
    <w:rsid w:val="007A5D77"/>
    <w:rsid w:val="007B6F8B"/>
    <w:rsid w:val="007C20A6"/>
    <w:rsid w:val="007D13F6"/>
    <w:rsid w:val="007F0307"/>
    <w:rsid w:val="007F35FE"/>
    <w:rsid w:val="00805587"/>
    <w:rsid w:val="008112D1"/>
    <w:rsid w:val="008138F4"/>
    <w:rsid w:val="00813A70"/>
    <w:rsid w:val="00836C85"/>
    <w:rsid w:val="00843C8D"/>
    <w:rsid w:val="008541CA"/>
    <w:rsid w:val="00863ECD"/>
    <w:rsid w:val="00864067"/>
    <w:rsid w:val="008776ED"/>
    <w:rsid w:val="008836C7"/>
    <w:rsid w:val="008862CF"/>
    <w:rsid w:val="008958CC"/>
    <w:rsid w:val="008C0D47"/>
    <w:rsid w:val="008C4487"/>
    <w:rsid w:val="008D504A"/>
    <w:rsid w:val="008F0454"/>
    <w:rsid w:val="00925BD2"/>
    <w:rsid w:val="009271F1"/>
    <w:rsid w:val="009432FA"/>
    <w:rsid w:val="00946EB3"/>
    <w:rsid w:val="00956F73"/>
    <w:rsid w:val="00963908"/>
    <w:rsid w:val="00970C04"/>
    <w:rsid w:val="00972298"/>
    <w:rsid w:val="00980209"/>
    <w:rsid w:val="009910BA"/>
    <w:rsid w:val="009A1FD9"/>
    <w:rsid w:val="00A21D23"/>
    <w:rsid w:val="00A60217"/>
    <w:rsid w:val="00A62F3C"/>
    <w:rsid w:val="00A710ED"/>
    <w:rsid w:val="00A7204D"/>
    <w:rsid w:val="00A74281"/>
    <w:rsid w:val="00A9767C"/>
    <w:rsid w:val="00AA1363"/>
    <w:rsid w:val="00AB58BB"/>
    <w:rsid w:val="00AC307C"/>
    <w:rsid w:val="00AE07F5"/>
    <w:rsid w:val="00AF14A5"/>
    <w:rsid w:val="00AF3829"/>
    <w:rsid w:val="00B042E5"/>
    <w:rsid w:val="00B24D8B"/>
    <w:rsid w:val="00B2517E"/>
    <w:rsid w:val="00B3775D"/>
    <w:rsid w:val="00B55254"/>
    <w:rsid w:val="00B576FF"/>
    <w:rsid w:val="00B6116E"/>
    <w:rsid w:val="00B71763"/>
    <w:rsid w:val="00BA088E"/>
    <w:rsid w:val="00BA7E7E"/>
    <w:rsid w:val="00BC75A7"/>
    <w:rsid w:val="00BD0CA9"/>
    <w:rsid w:val="00BD0CF3"/>
    <w:rsid w:val="00BD3067"/>
    <w:rsid w:val="00C02058"/>
    <w:rsid w:val="00C149B7"/>
    <w:rsid w:val="00C15748"/>
    <w:rsid w:val="00C36518"/>
    <w:rsid w:val="00C5566F"/>
    <w:rsid w:val="00C63279"/>
    <w:rsid w:val="00C85D9F"/>
    <w:rsid w:val="00C96EA5"/>
    <w:rsid w:val="00CB1EA7"/>
    <w:rsid w:val="00CD73AF"/>
    <w:rsid w:val="00CF765B"/>
    <w:rsid w:val="00D25E2E"/>
    <w:rsid w:val="00D26314"/>
    <w:rsid w:val="00D3272A"/>
    <w:rsid w:val="00D61B9F"/>
    <w:rsid w:val="00D8665B"/>
    <w:rsid w:val="00D91717"/>
    <w:rsid w:val="00D93DEB"/>
    <w:rsid w:val="00DA2A3D"/>
    <w:rsid w:val="00DA326D"/>
    <w:rsid w:val="00DD4E07"/>
    <w:rsid w:val="00DD5D89"/>
    <w:rsid w:val="00DE23D2"/>
    <w:rsid w:val="00DE3F9F"/>
    <w:rsid w:val="00DE59DF"/>
    <w:rsid w:val="00DE5AD9"/>
    <w:rsid w:val="00DF22CC"/>
    <w:rsid w:val="00E0513B"/>
    <w:rsid w:val="00E13FC6"/>
    <w:rsid w:val="00E50C03"/>
    <w:rsid w:val="00E60A73"/>
    <w:rsid w:val="00E61329"/>
    <w:rsid w:val="00E723D9"/>
    <w:rsid w:val="00E753E6"/>
    <w:rsid w:val="00E951D8"/>
    <w:rsid w:val="00E96669"/>
    <w:rsid w:val="00EA7B71"/>
    <w:rsid w:val="00ED7CF8"/>
    <w:rsid w:val="00EE4487"/>
    <w:rsid w:val="00EF4040"/>
    <w:rsid w:val="00EF5CF7"/>
    <w:rsid w:val="00F06082"/>
    <w:rsid w:val="00F275CE"/>
    <w:rsid w:val="00F35E67"/>
    <w:rsid w:val="00F506A8"/>
    <w:rsid w:val="00F733BF"/>
    <w:rsid w:val="00F7340A"/>
    <w:rsid w:val="00F81CB1"/>
    <w:rsid w:val="00F823D0"/>
    <w:rsid w:val="00F83F7F"/>
    <w:rsid w:val="00F90A79"/>
    <w:rsid w:val="00FA586E"/>
    <w:rsid w:val="00FB2A0B"/>
    <w:rsid w:val="00FB2E70"/>
    <w:rsid w:val="00FB5886"/>
    <w:rsid w:val="00FB6148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F3B3B-8DE9-41F4-B8D2-8E582F68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1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A6"/>
    <w:pPr>
      <w:pBdr>
        <w:bottom w:val="single" w:sz="18" w:space="1" w:color="3E3E67" w:themeColor="accent1" w:themeShade="BF"/>
      </w:pBdr>
      <w:tabs>
        <w:tab w:val="right" w:leader="dot" w:pos="9360"/>
      </w:tabs>
      <w:outlineLvl w:val="0"/>
    </w:pPr>
    <w:rPr>
      <w:rFonts w:cstheme="min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A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ED"/>
    <w:pPr>
      <w:keepNext/>
      <w:keepLines/>
      <w:spacing w:before="200" w:after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651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E3E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3F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3FC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C20A6"/>
    <w:rPr>
      <w:rFonts w:ascii="Times New Roman" w:hAnsi="Times New Roman" w:cstheme="minorHAnsi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13FC6"/>
    <w:pPr>
      <w:outlineLvl w:val="9"/>
    </w:pPr>
  </w:style>
  <w:style w:type="character" w:styleId="Hyperlink">
    <w:name w:val="Hyperlink"/>
    <w:uiPriority w:val="99"/>
    <w:rsid w:val="00CD73AF"/>
    <w:rPr>
      <w:color w:val="0000FF"/>
      <w:u w:val="single"/>
    </w:rPr>
  </w:style>
  <w:style w:type="paragraph" w:customStyle="1" w:styleId="Reporttext">
    <w:name w:val="Report text"/>
    <w:basedOn w:val="Normal"/>
    <w:autoRedefine/>
    <w:rsid w:val="003B5FA4"/>
    <w:pPr>
      <w:tabs>
        <w:tab w:val="left" w:pos="2745"/>
      </w:tabs>
      <w:spacing w:after="0" w:line="240" w:lineRule="auto"/>
      <w:ind w:firstLine="720"/>
    </w:pPr>
    <w:rPr>
      <w:rFonts w:eastAsia="Times New Roman" w:cs="Times New Roman"/>
      <w:noProof/>
      <w:szCs w:val="24"/>
      <w:lang w:eastAsia="en-AU"/>
    </w:rPr>
  </w:style>
  <w:style w:type="table" w:customStyle="1" w:styleId="MediumList21">
    <w:name w:val="Medium List 21"/>
    <w:basedOn w:val="TableNormal"/>
    <w:uiPriority w:val="66"/>
    <w:rsid w:val="00CD7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416F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416F1"/>
  </w:style>
  <w:style w:type="character" w:styleId="Strong">
    <w:name w:val="Strong"/>
    <w:basedOn w:val="DefaultParagraphFont"/>
    <w:uiPriority w:val="22"/>
    <w:qFormat/>
    <w:rsid w:val="00244DC8"/>
    <w:rPr>
      <w:rFonts w:ascii="Times New Roman" w:hAnsi="Times New Roman"/>
      <w:b/>
      <w:bCs/>
    </w:rPr>
  </w:style>
  <w:style w:type="character" w:customStyle="1" w:styleId="hvr">
    <w:name w:val="hvr"/>
    <w:basedOn w:val="DefaultParagraphFont"/>
    <w:rsid w:val="006416F1"/>
  </w:style>
  <w:style w:type="paragraph" w:styleId="TOC1">
    <w:name w:val="toc 1"/>
    <w:basedOn w:val="Normal"/>
    <w:next w:val="Normal"/>
    <w:autoRedefine/>
    <w:uiPriority w:val="39"/>
    <w:unhideWhenUsed/>
    <w:rsid w:val="006416F1"/>
    <w:pPr>
      <w:spacing w:after="100"/>
    </w:pPr>
  </w:style>
  <w:style w:type="paragraph" w:customStyle="1" w:styleId="ContactInfo">
    <w:name w:val="Contact Info"/>
    <w:basedOn w:val="NoSpacing"/>
    <w:uiPriority w:val="99"/>
    <w:qFormat/>
    <w:rsid w:val="006416F1"/>
    <w:rPr>
      <w:color w:val="FFFFFF" w:themeColor="background1"/>
      <w:lang w:eastAsia="ja-JP"/>
    </w:rPr>
  </w:style>
  <w:style w:type="paragraph" w:customStyle="1" w:styleId="TableSpace">
    <w:name w:val="Table Space"/>
    <w:basedOn w:val="NoSpacing"/>
    <w:uiPriority w:val="99"/>
    <w:rsid w:val="006416F1"/>
    <w:pPr>
      <w:spacing w:line="14" w:lineRule="exact"/>
    </w:pPr>
    <w:rPr>
      <w:color w:val="424456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20A6"/>
    <w:rPr>
      <w:rFonts w:ascii="Times New Roman" w:eastAsiaTheme="majorEastAsia" w:hAnsi="Times New Roman" w:cstheme="majorBidi"/>
      <w:b/>
      <w:bCs/>
      <w:color w:val="53548A" w:themeColor="accent1"/>
      <w:sz w:val="26"/>
      <w:szCs w:val="26"/>
    </w:rPr>
  </w:style>
  <w:style w:type="paragraph" w:styleId="ListParagraph">
    <w:name w:val="List Paragraph"/>
    <w:aliases w:val="Bulleted List,List bulleted"/>
    <w:basedOn w:val="Normal"/>
    <w:link w:val="ListParagraphChar"/>
    <w:uiPriority w:val="34"/>
    <w:qFormat/>
    <w:rsid w:val="0021076E"/>
    <w:pPr>
      <w:spacing w:after="0" w:line="240" w:lineRule="auto"/>
      <w:ind w:left="720"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Bulleted List Char,List bulleted Char"/>
    <w:basedOn w:val="DefaultParagraphFont"/>
    <w:link w:val="ListParagraph"/>
    <w:uiPriority w:val="34"/>
    <w:rsid w:val="002107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10E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0A6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0A6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62CF"/>
    <w:rPr>
      <w:rFonts w:ascii="Times New Roman" w:hAnsi="Times New Roman"/>
      <w:b w:val="0"/>
      <w:i/>
      <w:iCs/>
      <w:sz w:val="24"/>
    </w:rPr>
  </w:style>
  <w:style w:type="table" w:styleId="TableGrid">
    <w:name w:val="Table Grid"/>
    <w:basedOn w:val="TableNormal"/>
    <w:uiPriority w:val="59"/>
    <w:rsid w:val="007C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C20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Shading-Accent1">
    <w:name w:val="Colorful Shading Accent 1"/>
    <w:basedOn w:val="TableNormal"/>
    <w:uiPriority w:val="71"/>
    <w:rsid w:val="007C20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38086" w:themeColor="accent2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2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252" w:themeColor="accent1" w:themeShade="99"/>
          <w:insideV w:val="nil"/>
        </w:tcBorders>
        <w:shd w:val="clear" w:color="auto" w:fill="3132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252" w:themeFill="accent1" w:themeFillShade="99"/>
      </w:tcPr>
    </w:tblStylePr>
    <w:tblStylePr w:type="band1Vert">
      <w:tblPr/>
      <w:tcPr>
        <w:shd w:val="clear" w:color="auto" w:fill="B6B7D3" w:themeFill="accent1" w:themeFillTint="66"/>
      </w:tcPr>
    </w:tblStylePr>
    <w:tblStylePr w:type="band1Horz">
      <w:tblPr/>
      <w:tcPr>
        <w:shd w:val="clear" w:color="auto" w:fill="A5A5C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seEmphasis">
    <w:name w:val="Intense Emphasis"/>
    <w:basedOn w:val="DefaultParagraphFont"/>
    <w:uiPriority w:val="21"/>
    <w:qFormat/>
    <w:rsid w:val="007C20A6"/>
    <w:rPr>
      <w:rFonts w:ascii="Times New Roman" w:hAnsi="Times New Roman"/>
      <w:b/>
      <w:bCs/>
      <w:i/>
      <w:iCs/>
      <w:color w:val="53548A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6518"/>
    <w:rPr>
      <w:rFonts w:ascii="Times New Roman" w:eastAsiaTheme="majorEastAsia" w:hAnsi="Times New Roman" w:cstheme="majorBidi"/>
      <w:b/>
      <w:bCs/>
      <w:iCs/>
      <w:color w:val="3E3E67" w:themeColor="accent1" w:themeShade="BF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16199"/>
    <w:pPr>
      <w:spacing w:after="100"/>
      <w:ind w:left="220"/>
    </w:pPr>
  </w:style>
  <w:style w:type="paragraph" w:customStyle="1" w:styleId="Default">
    <w:name w:val="Default"/>
    <w:rsid w:val="0051619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</w:rPr>
  </w:style>
  <w:style w:type="paragraph" w:customStyle="1" w:styleId="StyleDefaultLinespacingAtleast2755pt">
    <w:name w:val="Style Default + Line spacing:  At least 27.55 pt"/>
    <w:basedOn w:val="Default"/>
    <w:rsid w:val="00516199"/>
    <w:pPr>
      <w:spacing w:line="240" w:lineRule="atLeast"/>
    </w:pPr>
  </w:style>
  <w:style w:type="table" w:styleId="LightList-Accent5">
    <w:name w:val="Light List Accent 5"/>
    <w:basedOn w:val="TableNormal"/>
    <w:uiPriority w:val="61"/>
    <w:rsid w:val="00C85D9F"/>
    <w:pPr>
      <w:spacing w:after="0" w:line="240" w:lineRule="auto"/>
    </w:pPr>
    <w:tblPr>
      <w:tblStyleRowBandSize w:val="1"/>
      <w:tblStyleColBandSize w:val="1"/>
      <w:tblBorders>
        <w:top w:val="single" w:sz="8" w:space="0" w:color="8B5D3D" w:themeColor="accent5"/>
        <w:left w:val="single" w:sz="8" w:space="0" w:color="8B5D3D" w:themeColor="accent5"/>
        <w:bottom w:val="single" w:sz="8" w:space="0" w:color="8B5D3D" w:themeColor="accent5"/>
        <w:right w:val="single" w:sz="8" w:space="0" w:color="8B5D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5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5D3D" w:themeColor="accent5"/>
          <w:left w:val="single" w:sz="8" w:space="0" w:color="8B5D3D" w:themeColor="accent5"/>
          <w:bottom w:val="single" w:sz="8" w:space="0" w:color="8B5D3D" w:themeColor="accent5"/>
          <w:right w:val="single" w:sz="8" w:space="0" w:color="8B5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5D3D" w:themeColor="accent5"/>
          <w:left w:val="single" w:sz="8" w:space="0" w:color="8B5D3D" w:themeColor="accent5"/>
          <w:bottom w:val="single" w:sz="8" w:space="0" w:color="8B5D3D" w:themeColor="accent5"/>
          <w:right w:val="single" w:sz="8" w:space="0" w:color="8B5D3D" w:themeColor="accent5"/>
        </w:tcBorders>
      </w:tcPr>
    </w:tblStylePr>
    <w:tblStylePr w:type="band1Horz">
      <w:tblPr/>
      <w:tcPr>
        <w:tcBorders>
          <w:top w:val="single" w:sz="8" w:space="0" w:color="8B5D3D" w:themeColor="accent5"/>
          <w:left w:val="single" w:sz="8" w:space="0" w:color="8B5D3D" w:themeColor="accent5"/>
          <w:bottom w:val="single" w:sz="8" w:space="0" w:color="8B5D3D" w:themeColor="accent5"/>
          <w:right w:val="single" w:sz="8" w:space="0" w:color="8B5D3D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42132D"/>
    <w:pPr>
      <w:spacing w:after="0" w:line="240" w:lineRule="auto"/>
    </w:pPr>
    <w:tblPr>
      <w:tblStyleRowBandSize w:val="1"/>
      <w:tblStyleColBandSize w:val="1"/>
      <w:tblBorders>
        <w:top w:val="single" w:sz="8" w:space="0" w:color="B8825D" w:themeColor="accent5" w:themeTint="BF"/>
        <w:left w:val="single" w:sz="8" w:space="0" w:color="B8825D" w:themeColor="accent5" w:themeTint="BF"/>
        <w:bottom w:val="single" w:sz="8" w:space="0" w:color="B8825D" w:themeColor="accent5" w:themeTint="BF"/>
        <w:right w:val="single" w:sz="8" w:space="0" w:color="B8825D" w:themeColor="accent5" w:themeTint="BF"/>
        <w:insideH w:val="single" w:sz="8" w:space="0" w:color="B882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825D" w:themeColor="accent5" w:themeTint="BF"/>
          <w:left w:val="single" w:sz="8" w:space="0" w:color="B8825D" w:themeColor="accent5" w:themeTint="BF"/>
          <w:bottom w:val="single" w:sz="8" w:space="0" w:color="B8825D" w:themeColor="accent5" w:themeTint="BF"/>
          <w:right w:val="single" w:sz="8" w:space="0" w:color="B8825D" w:themeColor="accent5" w:themeTint="BF"/>
          <w:insideH w:val="nil"/>
          <w:insideV w:val="nil"/>
        </w:tcBorders>
        <w:shd w:val="clear" w:color="auto" w:fill="8B5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25D" w:themeColor="accent5" w:themeTint="BF"/>
          <w:left w:val="single" w:sz="8" w:space="0" w:color="B8825D" w:themeColor="accent5" w:themeTint="BF"/>
          <w:bottom w:val="single" w:sz="8" w:space="0" w:color="B8825D" w:themeColor="accent5" w:themeTint="BF"/>
          <w:right w:val="single" w:sz="8" w:space="0" w:color="B882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04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Cs/>
      <w:color w:val="373737" w:themeColor="background2" w:themeShade="40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04A"/>
    <w:rPr>
      <w:rFonts w:ascii="Times New Roman" w:hAnsi="Times New Roman"/>
      <w:b/>
      <w:bCs/>
      <w:iCs/>
      <w:color w:val="373737" w:themeColor="background2" w:themeShade="40"/>
      <w:sz w:val="24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F308B"/>
  </w:style>
  <w:style w:type="paragraph" w:styleId="TOC3">
    <w:name w:val="toc 3"/>
    <w:basedOn w:val="Normal"/>
    <w:next w:val="Normal"/>
    <w:autoRedefine/>
    <w:uiPriority w:val="39"/>
    <w:unhideWhenUsed/>
    <w:rsid w:val="008862CF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A60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17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73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6167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="Garamond" w:eastAsiaTheme="majorEastAsia" w:hAnsi="Garamond" w:cstheme="majorBidi"/>
      <w:color w:val="313240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D6167"/>
    <w:rPr>
      <w:rFonts w:ascii="Garamond" w:eastAsiaTheme="majorEastAsia" w:hAnsi="Garamond" w:cstheme="majorBidi"/>
      <w:color w:val="313240" w:themeColor="text2" w:themeShade="BF"/>
      <w:spacing w:val="5"/>
      <w:kern w:val="28"/>
      <w:sz w:val="52"/>
      <w:szCs w:val="52"/>
      <w:lang w:eastAsia="ja-JP"/>
    </w:rPr>
  </w:style>
  <w:style w:type="table" w:styleId="MediumShading1-Accent2">
    <w:name w:val="Medium Shading 1 Accent 2"/>
    <w:basedOn w:val="TableNormal"/>
    <w:uiPriority w:val="63"/>
    <w:rsid w:val="00636BD5"/>
    <w:pPr>
      <w:spacing w:after="0" w:line="240" w:lineRule="auto"/>
    </w:pPr>
    <w:tblPr>
      <w:tblStyleRowBandSize w:val="1"/>
      <w:tblStyleColBandSize w:val="1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AAB1" w:themeColor="accent2" w:themeTint="BF"/>
          <w:left w:val="single" w:sz="8" w:space="0" w:color="64AAB1" w:themeColor="accent2" w:themeTint="BF"/>
          <w:bottom w:val="single" w:sz="8" w:space="0" w:color="64AAB1" w:themeColor="accent2" w:themeTint="BF"/>
          <w:right w:val="single" w:sz="8" w:space="0" w:color="64AAB1" w:themeColor="accent2" w:themeTint="BF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AAB1" w:themeColor="accent2" w:themeTint="BF"/>
          <w:left w:val="single" w:sz="8" w:space="0" w:color="64AAB1" w:themeColor="accent2" w:themeTint="BF"/>
          <w:bottom w:val="single" w:sz="8" w:space="0" w:color="64AAB1" w:themeColor="accent2" w:themeTint="BF"/>
          <w:right w:val="single" w:sz="8" w:space="0" w:color="64AAB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263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31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314"/>
    <w:rPr>
      <w:vertAlign w:val="superscript"/>
    </w:rPr>
  </w:style>
  <w:style w:type="table" w:styleId="MediumList1-Accent4">
    <w:name w:val="Medium List 1 Accent 4"/>
    <w:basedOn w:val="TableNormal"/>
    <w:uiPriority w:val="65"/>
    <w:rsid w:val="00D26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652D" w:themeColor="accent4"/>
        <w:bottom w:val="single" w:sz="8" w:space="0" w:color="C4652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652D" w:themeColor="accent4"/>
        </w:tcBorders>
      </w:tcPr>
    </w:tblStylePr>
    <w:tblStylePr w:type="lastRow">
      <w:rPr>
        <w:b/>
        <w:bCs/>
        <w:color w:val="424456" w:themeColor="text2"/>
      </w:rPr>
      <w:tblPr/>
      <w:tcPr>
        <w:tcBorders>
          <w:top w:val="single" w:sz="8" w:space="0" w:color="C4652D" w:themeColor="accent4"/>
          <w:bottom w:val="single" w:sz="8" w:space="0" w:color="C4652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652D" w:themeColor="accent4"/>
          <w:bottom w:val="single" w:sz="8" w:space="0" w:color="C4652D" w:themeColor="accent4"/>
        </w:tcBorders>
      </w:tcPr>
    </w:tblStylePr>
    <w:tblStylePr w:type="band1Vert">
      <w:tblPr/>
      <w:tcPr>
        <w:shd w:val="clear" w:color="auto" w:fill="F2D8C8" w:themeFill="accent4" w:themeFillTint="3F"/>
      </w:tcPr>
    </w:tblStylePr>
    <w:tblStylePr w:type="band1Horz">
      <w:tblPr/>
      <w:tcPr>
        <w:shd w:val="clear" w:color="auto" w:fill="F2D8C8" w:themeFill="accent4" w:themeFillTint="3F"/>
      </w:tcPr>
    </w:tblStylePr>
  </w:style>
  <w:style w:type="table" w:styleId="MediumGrid3-Accent2">
    <w:name w:val="Medium Grid 3 Accent 2"/>
    <w:basedOn w:val="TableNormal"/>
    <w:uiPriority w:val="69"/>
    <w:rsid w:val="00D26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80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80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C7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C7CB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D26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666B" w:themeFill="accent2" w:themeFillShade="CC"/>
      </w:tcPr>
    </w:tblStylePr>
    <w:tblStylePr w:type="lastRow">
      <w:rPr>
        <w:b/>
        <w:bCs/>
        <w:color w:val="35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shd w:val="clear" w:color="auto" w:fill="D5E8EA" w:themeFill="accent2" w:themeFillTint="33"/>
      </w:tcPr>
    </w:tblStylePr>
  </w:style>
  <w:style w:type="table" w:styleId="ColorfulGrid-Accent2">
    <w:name w:val="Colorful Grid Accent 2"/>
    <w:basedOn w:val="TableNormal"/>
    <w:uiPriority w:val="73"/>
    <w:rsid w:val="00D26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8EA" w:themeFill="accent2" w:themeFillTint="33"/>
    </w:tcPr>
    <w:tblStylePr w:type="firstRow">
      <w:rPr>
        <w:b/>
        <w:bCs/>
      </w:rPr>
      <w:tblPr/>
      <w:tcPr>
        <w:shd w:val="clear" w:color="auto" w:fill="ACD2D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2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25F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25F64" w:themeFill="accent2" w:themeFillShade="BF"/>
      </w:tc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table" w:styleId="LightShading-Accent2">
    <w:name w:val="Light Shading Accent 2"/>
    <w:basedOn w:val="TableNormal"/>
    <w:uiPriority w:val="60"/>
    <w:rsid w:val="00D26314"/>
    <w:pPr>
      <w:spacing w:after="0" w:line="240" w:lineRule="auto"/>
    </w:pPr>
    <w:rPr>
      <w:color w:val="325F64" w:themeColor="accent2" w:themeShade="BF"/>
    </w:rPr>
    <w:tblPr>
      <w:tblStyleRowBandSize w:val="1"/>
      <w:tblStyleColBandSize w:val="1"/>
      <w:tblBorders>
        <w:top w:val="single" w:sz="8" w:space="0" w:color="438086" w:themeColor="accent2"/>
        <w:bottom w:val="single" w:sz="8" w:space="0" w:color="4380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 w:themeColor="accent2"/>
          <w:left w:val="nil"/>
          <w:bottom w:val="single" w:sz="8" w:space="0" w:color="4380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8086" w:themeColor="accent2"/>
          <w:left w:val="nil"/>
          <w:bottom w:val="single" w:sz="8" w:space="0" w:color="4380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26314"/>
    <w:pPr>
      <w:spacing w:after="0" w:line="240" w:lineRule="auto"/>
    </w:pPr>
    <w:tblPr>
      <w:tblStyleRowBandSize w:val="1"/>
      <w:tblStyleColBandSize w:val="1"/>
      <w:tblBorders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086" w:themeColor="accent2"/>
          <w:left w:val="single" w:sz="8" w:space="0" w:color="438086" w:themeColor="accent2"/>
          <w:bottom w:val="single" w:sz="8" w:space="0" w:color="438086" w:themeColor="accent2"/>
          <w:right w:val="single" w:sz="8" w:space="0" w:color="4380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8086" w:themeColor="accent2"/>
          <w:left w:val="single" w:sz="8" w:space="0" w:color="438086" w:themeColor="accent2"/>
          <w:bottom w:val="single" w:sz="8" w:space="0" w:color="438086" w:themeColor="accent2"/>
          <w:right w:val="single" w:sz="8" w:space="0" w:color="438086" w:themeColor="accent2"/>
        </w:tcBorders>
      </w:tcPr>
    </w:tblStylePr>
    <w:tblStylePr w:type="band1Horz">
      <w:tblPr/>
      <w:tcPr>
        <w:tcBorders>
          <w:top w:val="single" w:sz="8" w:space="0" w:color="438086" w:themeColor="accent2"/>
          <w:left w:val="single" w:sz="8" w:space="0" w:color="438086" w:themeColor="accent2"/>
          <w:bottom w:val="single" w:sz="8" w:space="0" w:color="438086" w:themeColor="accent2"/>
          <w:right w:val="single" w:sz="8" w:space="0" w:color="438086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54445"/>
    <w:rPr>
      <w:color w:val="C2A874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44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44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444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2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785103"/>
    <w:pPr>
      <w:spacing w:after="0" w:line="240" w:lineRule="auto"/>
    </w:pPr>
    <w:tblPr>
      <w:tblStyleRowBandSize w:val="1"/>
      <w:tblStyleColBandSize w:val="1"/>
      <w:tblBorders>
        <w:top w:val="single" w:sz="8" w:space="0" w:color="84ADC7" w:themeColor="accent6" w:themeTint="BF"/>
        <w:left w:val="single" w:sz="8" w:space="0" w:color="84ADC7" w:themeColor="accent6" w:themeTint="BF"/>
        <w:bottom w:val="single" w:sz="8" w:space="0" w:color="84ADC7" w:themeColor="accent6" w:themeTint="BF"/>
        <w:right w:val="single" w:sz="8" w:space="0" w:color="84ADC7" w:themeColor="accent6" w:themeTint="BF"/>
        <w:insideH w:val="single" w:sz="8" w:space="0" w:color="84AD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DC7" w:themeColor="accent6" w:themeTint="BF"/>
          <w:left w:val="single" w:sz="8" w:space="0" w:color="84ADC7" w:themeColor="accent6" w:themeTint="BF"/>
          <w:bottom w:val="single" w:sz="8" w:space="0" w:color="84ADC7" w:themeColor="accent6" w:themeTint="BF"/>
          <w:right w:val="single" w:sz="8" w:space="0" w:color="84ADC7" w:themeColor="accent6" w:themeTint="BF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DC7" w:themeColor="accent6" w:themeTint="BF"/>
          <w:left w:val="single" w:sz="8" w:space="0" w:color="84ADC7" w:themeColor="accent6" w:themeTint="BF"/>
          <w:bottom w:val="single" w:sz="8" w:space="0" w:color="84ADC7" w:themeColor="accent6" w:themeTint="BF"/>
          <w:right w:val="single" w:sz="8" w:space="0" w:color="84AD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3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972298"/>
    <w:pPr>
      <w:spacing w:after="0" w:line="240" w:lineRule="auto"/>
    </w:pPr>
    <w:tblPr>
      <w:tblStyleRowBandSize w:val="1"/>
      <w:tblStyleColBandSize w:val="1"/>
      <w:tblBorders>
        <w:top w:val="single" w:sz="8" w:space="0" w:color="5C92B5" w:themeColor="accent6"/>
        <w:left w:val="single" w:sz="8" w:space="0" w:color="5C92B5" w:themeColor="accent6"/>
        <w:bottom w:val="single" w:sz="8" w:space="0" w:color="5C92B5" w:themeColor="accent6"/>
        <w:right w:val="single" w:sz="8" w:space="0" w:color="5C92B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</w:tcPr>
    </w:tblStylePr>
    <w:tblStylePr w:type="band1Horz">
      <w:tblPr/>
      <w:tcPr>
        <w:tcBorders>
          <w:top w:val="single" w:sz="8" w:space="0" w:color="5C92B5" w:themeColor="accent6"/>
          <w:left w:val="single" w:sz="8" w:space="0" w:color="5C92B5" w:themeColor="accent6"/>
          <w:bottom w:val="single" w:sz="8" w:space="0" w:color="5C92B5" w:themeColor="accent6"/>
          <w:right w:val="single" w:sz="8" w:space="0" w:color="5C92B5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lar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Mylar">
      <a:maj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lar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25400" h="508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tint val="100000"/>
                <a:shade val="30000"/>
                <a:alpha val="100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lumMod val="80000"/>
              </a:schemeClr>
              <a:schemeClr val="phClr">
                <a:tint val="50000"/>
                <a:lumMod val="1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2019-07-01T00:00:00</PublishDate>
  <Abstract>Revised by the Virginia Department of Education on July XX, 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Vir171</b:Tag>
    <b:SourceType>InternetSite</b:SourceType>
    <b:Guid>{6E111358-558E-4F82-9B7D-C3FB938C25F9}</b:Guid>
    <b:Title>Superintendent’s Memo #168-17</b:Title>
    <b:InternetSiteTitle>Virginia Department of Education</b:InternetSiteTitle>
    <b:Year>2017</b:Year>
    <b:Month>June</b:Month>
    <b:Day>9</b:Day>
    <b:URL>http://www.doe.virginia.gov/administrators/superintendents_memos/2017/168-17.shtml</b:URL>
    <b:Author>
      <b:Author>
        <b:Corporate>Virginia Department of Education</b:Corporate>
      </b:Author>
    </b:Author>
    <b:RefOrder>7</b:RefOrder>
  </b:Source>
  <b:Source>
    <b:Tag>Sta18</b:Tag>
    <b:SourceType>InternetSite</b:SourceType>
    <b:Guid>{2D75B469-6346-4915-81DB-C90C5C28766F}</b:Guid>
    <b:Title>8VAC20-131-30. Student Achievement Expectations.</b:Title>
    <b:InternetSiteTitle>Administrative Code</b:InternetSiteTitle>
    <b:Year>2018</b:Year>
    <b:URL>https://law.lis.virginia.gov/admincode/title8/agency20/chapter131/section30/</b:URL>
    <b:Author>
      <b:Author>
        <b:Corporate>Virginia Board of Education</b:Corporate>
      </b:Author>
    </b:Author>
    <b:RefOrder>2</b:RefOrder>
  </b:Source>
  <b:Source>
    <b:Tag>USD17</b:Tag>
    <b:SourceType>DocumentFromInternetSite</b:SourceType>
    <b:Guid>{05B81EE8-6B93-4495-95C1-8D1045A9B2B2}</b:Guid>
    <b:Author>
      <b:Author>
        <b:Corporate>U.S. Department of Education</b:Corporate>
      </b:Author>
    </b:Author>
    <b:Title>Resource Guide: Accountability for English Learners under the ESEA</b:Title>
    <b:Year>2017</b:Year>
    <b:Month>January</b:Month>
    <b:Day>13</b:Day>
    <b:InternetSiteTitle>Legislation -- English Language Acquisition State Grants</b:InternetSiteTitle>
    <b:URL>https://www2.ed.gov/programs/sfgp/eseatitleiiiresourceaccountelsguide.pdf</b:URL>
    <b:RefOrder>3</b:RefOrder>
  </b:Source>
  <b:Source>
    <b:Tag>Vir172</b:Tag>
    <b:SourceType>DocumentFromInternetSite</b:SourceType>
    <b:Guid>{4891A174-5291-4709-8E72-72274BB3D574}</b:Guid>
    <b:Author>
      <b:Author>
        <b:Corporate>Virginia Department of Education</b:Corporate>
      </b:Author>
    </b:Author>
    <b:Title>Students with Disabilities: Guidelines for Special Test Accommodations</b:Title>
    <b:InternetSiteTitle>Participation and Inclusion</b:InternetSiteTitle>
    <b:Year>2017</b:Year>
    <b:Month>September</b:Month>
    <b:URL>http://doe.virginia.gov/testing/participation/guidelines_for_special_test_accommodations.pdf</b:URL>
    <b:RefOrder>5</b:RefOrder>
  </b:Source>
  <b:Source>
    <b:Tag>Vir17</b:Tag>
    <b:SourceType>DocumentFromInternetSite</b:SourceType>
    <b:Guid>{AF55B7B0-3F0C-451A-BC30-99097D94F66D}</b:Guid>
    <b:Title>Students with Disabilities: Guidelines for Assessment Participation</b:Title>
    <b:InternetSiteTitle>Assessment &amp; Accommodations</b:InternetSiteTitle>
    <b:Year>2017</b:Year>
    <b:Month>September</b:Month>
    <b:URL>http://doe.virginia.gov/testing/participation/guidelines-for-assessment-participation.pdf</b:URL>
    <b:Author>
      <b:Author>
        <b:Corporate>Virginia Department of Education</b:Corporate>
      </b:Author>
    </b:Author>
    <b:RefOrder>6</b:RefOrder>
  </b:Source>
  <b:Source>
    <b:Tag>Vir18</b:Tag>
    <b:SourceType>InternetSite</b:SourceType>
    <b:Guid>{0A15AF23-53B0-492A-BFA6-4110E4D2F281}</b:Guid>
    <b:Author>
      <b:Author>
        <b:Corporate>Virginia Department of Education</b:Corporate>
      </b:Author>
    </b:Author>
    <b:Title>Examiner's Manuals</b:Title>
    <b:InternetSiteTitle>SOL Test Administration &amp; Development</b:InternetSiteTitle>
    <b:Year>2019</b:Year>
    <b:Month>July</b:Month>
    <b:Day>26</b:Day>
    <b:URL>http://www.doe.virginia.gov/testing/test_administration/index.shtml#examiners_manuals</b:URL>
    <b:RefOrder>4</b:RefOrder>
  </b:Source>
  <b:Source>
    <b:Tag>Vir13</b:Tag>
    <b:SourceType>DocumentFromInternetSite</b:SourceType>
    <b:Guid>{77833F74-9A49-448D-80C8-57F6CF78FCEC}</b:Guid>
    <b:Author>
      <b:Author>
        <b:Corporate>U.S. Department of Education</b:Corporate>
      </b:Author>
    </b:Author>
    <b:Title>Laws and Guidance</b:Title>
    <b:InternetSiteTitle>Title IX — General Provisions</b:InternetSiteTitle>
    <b:Year>2005</b:Year>
    <b:Month>December</b:Month>
    <b:Day>19</b:Day>
    <b:URL>https://www2.ed.gov/policy/elsec/leg/esea02/pg107.html#sec9101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BE520-F25A-45C8-9A9B-657CB70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English Learner Participation In The Virginia Assessment Program</vt:lpstr>
    </vt:vector>
  </TitlesOfParts>
  <Company>Virginia IT Infrastructure Partnership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English Learner Participation In The Virginia Assessment Program</dc:title>
  <dc:subject>Office of Student Assessment</dc:subject>
  <dc:creator>Virginia Department of Education</dc:creator>
  <cp:lastModifiedBy>Trisha Young</cp:lastModifiedBy>
  <cp:revision>3</cp:revision>
  <cp:lastPrinted>2019-09-12T14:02:00Z</cp:lastPrinted>
  <dcterms:created xsi:type="dcterms:W3CDTF">2020-02-12T21:17:00Z</dcterms:created>
  <dcterms:modified xsi:type="dcterms:W3CDTF">2020-02-14T18:59:00Z</dcterms:modified>
</cp:coreProperties>
</file>