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BA" w:rsidRDefault="00506ABA" w:rsidP="00506ABA">
      <w:pPr>
        <w:ind w:left="-1008"/>
        <w:jc w:val="center"/>
      </w:pPr>
      <w:bookmarkStart w:id="0" w:name="_GoBack"/>
      <w:bookmarkEnd w:id="0"/>
      <w:r>
        <w:rPr>
          <w:noProof/>
        </w:rPr>
        <w:drawing>
          <wp:inline distT="0" distB="0" distL="0" distR="0">
            <wp:extent cx="7589520" cy="1346527"/>
            <wp:effectExtent l="0" t="0" r="0" b="6350"/>
            <wp:docPr id="1" name="Picture 1" descr="Virginia Department of Education News, Office of Media Relations, P.O. Box 2120, Richmond, Virginia 23218-2120" title="Virginia Department of Education News Releas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9520" cy="1346527"/>
                    </a:xfrm>
                    <a:prstGeom prst="rect">
                      <a:avLst/>
                    </a:prstGeom>
                  </pic:spPr>
                </pic:pic>
              </a:graphicData>
            </a:graphic>
          </wp:inline>
        </w:drawing>
      </w:r>
    </w:p>
    <w:p w:rsidR="00506ABA" w:rsidRDefault="00506ABA" w:rsidP="00567722"/>
    <w:p w:rsidR="009A109E" w:rsidRPr="009A109E" w:rsidRDefault="009A109E" w:rsidP="009A109E">
      <w:pPr>
        <w:rPr>
          <w:rFonts w:eastAsia="Times New Roman" w:cs="Times New Roman"/>
          <w:iCs/>
          <w:sz w:val="18"/>
          <w:szCs w:val="24"/>
        </w:rPr>
      </w:pPr>
      <w:r w:rsidRPr="009A109E">
        <w:rPr>
          <w:rFonts w:eastAsia="Times New Roman" w:cs="Times New Roman"/>
          <w:b/>
          <w:iCs/>
          <w:sz w:val="18"/>
          <w:szCs w:val="24"/>
        </w:rPr>
        <w:t>For Immediate Release:</w:t>
      </w:r>
      <w:r w:rsidRPr="009A109E">
        <w:rPr>
          <w:rFonts w:eastAsia="Times New Roman" w:cs="Times New Roman"/>
          <w:iCs/>
          <w:sz w:val="18"/>
          <w:szCs w:val="24"/>
        </w:rPr>
        <w:tab/>
      </w:r>
      <w:r w:rsidRPr="009A109E">
        <w:rPr>
          <w:rFonts w:eastAsia="Times New Roman" w:cs="Times New Roman"/>
          <w:iCs/>
          <w:sz w:val="18"/>
          <w:szCs w:val="24"/>
        </w:rPr>
        <w:tab/>
        <w:t xml:space="preserve">September </w:t>
      </w:r>
      <w:r w:rsidR="0007795A">
        <w:rPr>
          <w:rFonts w:eastAsia="Times New Roman" w:cs="Times New Roman"/>
          <w:iCs/>
          <w:sz w:val="18"/>
          <w:szCs w:val="24"/>
        </w:rPr>
        <w:t>30</w:t>
      </w:r>
      <w:r w:rsidRPr="009A109E">
        <w:rPr>
          <w:rFonts w:eastAsia="Times New Roman" w:cs="Times New Roman"/>
          <w:iCs/>
          <w:sz w:val="18"/>
          <w:szCs w:val="24"/>
        </w:rPr>
        <w:t>, 2019</w:t>
      </w:r>
    </w:p>
    <w:p w:rsidR="00DC3458" w:rsidRDefault="009A109E" w:rsidP="002C6138">
      <w:pPr>
        <w:rPr>
          <w:rFonts w:eastAsia="Times New Roman" w:cs="Times New Roman"/>
          <w:iCs/>
          <w:sz w:val="18"/>
          <w:szCs w:val="24"/>
        </w:rPr>
      </w:pPr>
      <w:r w:rsidRPr="009A109E">
        <w:rPr>
          <w:rFonts w:eastAsia="Times New Roman" w:cs="Times New Roman"/>
          <w:b/>
          <w:iCs/>
          <w:sz w:val="18"/>
          <w:szCs w:val="24"/>
        </w:rPr>
        <w:t>Contact:</w:t>
      </w:r>
      <w:r w:rsidRPr="009A109E">
        <w:rPr>
          <w:rFonts w:eastAsia="Times New Roman" w:cs="Times New Roman"/>
          <w:iCs/>
          <w:sz w:val="18"/>
          <w:szCs w:val="24"/>
        </w:rPr>
        <w:tab/>
      </w:r>
      <w:r w:rsidRPr="009A109E">
        <w:rPr>
          <w:rFonts w:eastAsia="Times New Roman" w:cs="Times New Roman"/>
          <w:iCs/>
          <w:sz w:val="18"/>
          <w:szCs w:val="24"/>
        </w:rPr>
        <w:tab/>
      </w:r>
      <w:r w:rsidRPr="009A109E">
        <w:rPr>
          <w:rFonts w:eastAsia="Times New Roman" w:cs="Times New Roman"/>
          <w:iCs/>
          <w:sz w:val="18"/>
          <w:szCs w:val="24"/>
        </w:rPr>
        <w:tab/>
        <w:t>Charles B. Pyle, Director of Communications, (804) 371-2420</w:t>
      </w:r>
    </w:p>
    <w:p w:rsidR="002C6138" w:rsidRPr="00DC3458" w:rsidRDefault="002C6138" w:rsidP="002C6138">
      <w:pPr>
        <w:rPr>
          <w:rFonts w:eastAsia="Times New Roman"/>
          <w:sz w:val="20"/>
          <w:szCs w:val="20"/>
        </w:rPr>
      </w:pPr>
    </w:p>
    <w:p w:rsidR="00DC3458" w:rsidRPr="00DC3458" w:rsidRDefault="00DC3458" w:rsidP="00DC3458">
      <w:pPr>
        <w:ind w:right="-162"/>
        <w:jc w:val="center"/>
        <w:rPr>
          <w:rFonts w:eastAsia="Times New Roman"/>
          <w:b/>
          <w:bCs/>
          <w:color w:val="000000"/>
          <w:sz w:val="40"/>
          <w:szCs w:val="40"/>
        </w:rPr>
      </w:pPr>
      <w:r w:rsidRPr="00DC3458">
        <w:rPr>
          <w:rFonts w:eastAsia="Times New Roman"/>
          <w:b/>
          <w:bCs/>
          <w:color w:val="000000"/>
          <w:sz w:val="40"/>
          <w:szCs w:val="40"/>
        </w:rPr>
        <w:t xml:space="preserve">2019-2020 Accreditation Ratings Shine Light </w:t>
      </w:r>
    </w:p>
    <w:p w:rsidR="00DC3458" w:rsidRPr="00DC3458" w:rsidRDefault="00DC3458" w:rsidP="00DC3458">
      <w:pPr>
        <w:ind w:right="-162"/>
        <w:jc w:val="center"/>
        <w:rPr>
          <w:rFonts w:eastAsia="Times New Roman"/>
          <w:b/>
          <w:bCs/>
          <w:color w:val="000000"/>
          <w:sz w:val="40"/>
          <w:szCs w:val="40"/>
        </w:rPr>
      </w:pPr>
      <w:proofErr w:type="gramStart"/>
      <w:r w:rsidRPr="00DC3458">
        <w:rPr>
          <w:rFonts w:eastAsia="Times New Roman"/>
          <w:b/>
          <w:bCs/>
          <w:color w:val="000000"/>
          <w:sz w:val="40"/>
          <w:szCs w:val="40"/>
        </w:rPr>
        <w:t>on</w:t>
      </w:r>
      <w:proofErr w:type="gramEnd"/>
      <w:r w:rsidRPr="00DC3458">
        <w:rPr>
          <w:rFonts w:eastAsia="Times New Roman"/>
          <w:b/>
          <w:bCs/>
          <w:color w:val="000000"/>
          <w:sz w:val="40"/>
          <w:szCs w:val="40"/>
        </w:rPr>
        <w:t xml:space="preserve"> School Progress and Needs</w:t>
      </w:r>
    </w:p>
    <w:p w:rsidR="00DC3458" w:rsidRPr="00DC3458" w:rsidRDefault="00DC3458" w:rsidP="00DC3458">
      <w:pPr>
        <w:ind w:right="-162"/>
        <w:jc w:val="center"/>
        <w:rPr>
          <w:rFonts w:eastAsia="Times New Roman"/>
          <w:b/>
          <w:bCs/>
          <w:i/>
          <w:color w:val="000000"/>
          <w:sz w:val="28"/>
          <w:szCs w:val="28"/>
        </w:rPr>
      </w:pPr>
      <w:r w:rsidRPr="00DC3458">
        <w:rPr>
          <w:rFonts w:eastAsia="Times New Roman"/>
          <w:b/>
          <w:bCs/>
          <w:i/>
          <w:color w:val="000000"/>
          <w:sz w:val="28"/>
          <w:szCs w:val="28"/>
        </w:rPr>
        <w:t>92% of Virginia Public Schools Earn “Accredited” Rating</w:t>
      </w:r>
    </w:p>
    <w:p w:rsidR="00DC3458" w:rsidRPr="00DC3458" w:rsidRDefault="00DC3458" w:rsidP="00DC3458">
      <w:pPr>
        <w:ind w:right="-162"/>
        <w:jc w:val="center"/>
        <w:rPr>
          <w:rFonts w:eastAsia="Times New Roman"/>
          <w:color w:val="000000"/>
          <w:sz w:val="18"/>
          <w:szCs w:val="18"/>
        </w:rPr>
      </w:pPr>
    </w:p>
    <w:p w:rsidR="00DC3458" w:rsidRPr="00DC3458" w:rsidRDefault="00DC3458" w:rsidP="00DC3458">
      <w:pPr>
        <w:rPr>
          <w:rFonts w:eastAsia="Times New Roman"/>
          <w:color w:val="000000"/>
        </w:rPr>
      </w:pPr>
      <w:r w:rsidRPr="00DC3458">
        <w:rPr>
          <w:rFonts w:eastAsia="Times New Roman"/>
          <w:color w:val="000000"/>
        </w:rPr>
        <w:t>RICHMOND, Va. — Superintendent of Public Instruction James Lane announced today that 92% of Virginia’s public schools are meeting the state Board of Education’s expectations for achievement and improving student outcomes, and are accredited for the 2019-2020 school year.</w:t>
      </w:r>
    </w:p>
    <w:p w:rsidR="00DC3458" w:rsidRPr="00DC3458" w:rsidRDefault="00DC3458" w:rsidP="00DC3458">
      <w:pPr>
        <w:rPr>
          <w:rFonts w:eastAsia="Times New Roman"/>
          <w:color w:val="000000"/>
        </w:rPr>
      </w:pPr>
    </w:p>
    <w:p w:rsidR="00DC3458" w:rsidRPr="00DC3458" w:rsidRDefault="00DC3458" w:rsidP="00DC3458">
      <w:pPr>
        <w:rPr>
          <w:rFonts w:eastAsia="Times New Roman"/>
        </w:rPr>
      </w:pPr>
      <w:r w:rsidRPr="00DC3458">
        <w:rPr>
          <w:rFonts w:eastAsia="Times New Roman"/>
          <w:color w:val="000000"/>
        </w:rPr>
        <w:t>The accreditation ratings reported by the Virginia Department of Education also show that schools are making progress in reducing chronic absenteeism, but that declines in performance on state reading tests — especially among black and economically disadvantaged students — have resulted in an increase in the number of schools that will receive state assistance to address achievement gaps in English.</w:t>
      </w:r>
    </w:p>
    <w:p w:rsidR="00DC3458" w:rsidRPr="00DC3458" w:rsidRDefault="00DC3458" w:rsidP="00DC3458">
      <w:pPr>
        <w:rPr>
          <w:rFonts w:eastAsia="Times New Roman"/>
        </w:rPr>
      </w:pPr>
    </w:p>
    <w:p w:rsidR="00DC3458" w:rsidRPr="00DC3458" w:rsidRDefault="00DC3458" w:rsidP="00DC3458">
      <w:pPr>
        <w:rPr>
          <w:rFonts w:eastAsia="Times New Roman"/>
        </w:rPr>
      </w:pPr>
      <w:r w:rsidRPr="00DC3458">
        <w:rPr>
          <w:rFonts w:eastAsia="Times New Roman"/>
        </w:rPr>
        <w:t>“This is the second year that schools have been evaluated under the 2017 Board of Education-approved accreditation standards, and this new system for measuring the progress and needs of schools is doing exactly what it was designed to do,” Lane said. “Last year’s ratings compelled school divisions to focus on the need to reduce chronic absenteeism, and their success in improving student attendance is reflected in the ratings for 2019-2020. These latest ratings will help VDOE target its efforts toward increasing student literacy and furthering progress toward eliminating achievement gaps in the schools that are most in need of the department’s support and expertise.” </w:t>
      </w:r>
    </w:p>
    <w:p w:rsidR="00DC3458" w:rsidRPr="00DC3458" w:rsidRDefault="00DC3458" w:rsidP="00DC3458">
      <w:pPr>
        <w:rPr>
          <w:rFonts w:eastAsia="Times New Roman"/>
        </w:rPr>
      </w:pPr>
    </w:p>
    <w:p w:rsidR="00DC3458" w:rsidRPr="00DC3458" w:rsidRDefault="00DC3458" w:rsidP="00DC3458">
      <w:pPr>
        <w:rPr>
          <w:rFonts w:eastAsia="Times New Roman"/>
        </w:rPr>
      </w:pPr>
      <w:r w:rsidRPr="00DC3458">
        <w:rPr>
          <w:rFonts w:eastAsia="Times New Roman"/>
        </w:rPr>
        <w:t>The number of schools meeting the state board’s goal for reducing chronic absenteeism increased 4%, from 1,600 to 1,663. Twenty-three schools are identified as in need of state support to reduce chronic absenteeism, 21 fewer schools than last year. The number of schools identified as in need of state assistance to address achievement gaps in English increased by 13, to 125, compared with 112 last year.</w:t>
      </w:r>
    </w:p>
    <w:p w:rsidR="00DC3458" w:rsidRPr="00DC3458" w:rsidRDefault="00DC3458" w:rsidP="00DC3458">
      <w:pPr>
        <w:rPr>
          <w:rFonts w:eastAsia="Times New Roman"/>
        </w:rPr>
      </w:pPr>
    </w:p>
    <w:p w:rsidR="00DC3458" w:rsidRPr="00DC3458" w:rsidRDefault="00DC3458" w:rsidP="00DC3458">
      <w:pPr>
        <w:rPr>
          <w:rFonts w:eastAsia="Times New Roman"/>
        </w:rPr>
      </w:pPr>
      <w:r w:rsidRPr="00DC3458">
        <w:rPr>
          <w:rFonts w:eastAsia="Times New Roman"/>
        </w:rPr>
        <w:t xml:space="preserve">“The Board of Education is focused on ensuring that every child has an opportunity to reach his or her potential,” Board of Education President Daniel Gecker said. “The 2017 accreditation standards focus local decision-making and resources on the board’s goal of reducing </w:t>
      </w:r>
      <w:r w:rsidRPr="00DC3458">
        <w:rPr>
          <w:rFonts w:eastAsia="Times New Roman"/>
          <w:color w:val="000000"/>
        </w:rPr>
        <w:t>—</w:t>
      </w:r>
      <w:r w:rsidRPr="00DC3458">
        <w:rPr>
          <w:rFonts w:eastAsia="Times New Roman"/>
        </w:rPr>
        <w:t xml:space="preserve"> and ultimately eliminating </w:t>
      </w:r>
      <w:r w:rsidRPr="00DC3458">
        <w:rPr>
          <w:rFonts w:eastAsia="Times New Roman"/>
          <w:color w:val="000000"/>
        </w:rPr>
        <w:t xml:space="preserve">— </w:t>
      </w:r>
      <w:r w:rsidRPr="00DC3458">
        <w:rPr>
          <w:rFonts w:eastAsia="Times New Roman"/>
        </w:rPr>
        <w:t>achievement gaps while maintaining high standards for all students. This work, along with the work the board is currently doing on the Standards of Quality, advances the board’s equity agenda, as set forth in our adopted comprehensive plan.”</w:t>
      </w:r>
    </w:p>
    <w:p w:rsidR="00DC3458" w:rsidRPr="00DC3458" w:rsidRDefault="00DC3458" w:rsidP="00DC3458">
      <w:pPr>
        <w:rPr>
          <w:rFonts w:eastAsia="Times New Roman"/>
        </w:rPr>
      </w:pPr>
    </w:p>
    <w:p w:rsidR="00DC3458" w:rsidRPr="00DC3458" w:rsidRDefault="00DC3458" w:rsidP="00DC3458">
      <w:pPr>
        <w:rPr>
          <w:rFonts w:eastAsia="Times New Roman"/>
        </w:rPr>
      </w:pPr>
      <w:r w:rsidRPr="00DC3458">
        <w:rPr>
          <w:rFonts w:eastAsia="Times New Roman"/>
        </w:rPr>
        <w:t xml:space="preserve">Under the revised accreditation system, schools are evaluated on school quality indicators grouped in three categories: academic achievement, achievement gaps, and student engagement and outcomes.  </w:t>
      </w:r>
      <w:r w:rsidRPr="00DC3458">
        <w:rPr>
          <w:rFonts w:eastAsia="Calibri"/>
          <w:color w:val="000000"/>
          <w:shd w:val="clear" w:color="auto" w:fill="FFFFFF"/>
        </w:rPr>
        <w:t>Performance on each indicator is rated at one of the following levels:</w:t>
      </w:r>
    </w:p>
    <w:p w:rsidR="00DC3458" w:rsidRPr="00DC3458" w:rsidRDefault="00DC3458" w:rsidP="00DC3458">
      <w:pPr>
        <w:numPr>
          <w:ilvl w:val="0"/>
          <w:numId w:val="20"/>
        </w:numPr>
        <w:rPr>
          <w:rFonts w:eastAsia="Calibri"/>
          <w:color w:val="000000"/>
          <w:shd w:val="clear" w:color="auto" w:fill="FFFFFF"/>
        </w:rPr>
      </w:pPr>
      <w:r w:rsidRPr="00DC3458">
        <w:rPr>
          <w:rFonts w:eastAsia="Calibri"/>
          <w:color w:val="000000"/>
          <w:shd w:val="clear" w:color="auto" w:fill="FFFFFF"/>
        </w:rPr>
        <w:t>Level One: Meets or exceeds state standard or sufficient improvement</w:t>
      </w:r>
    </w:p>
    <w:p w:rsidR="00DC3458" w:rsidRPr="00DC3458" w:rsidRDefault="00DC3458" w:rsidP="00DC3458">
      <w:pPr>
        <w:numPr>
          <w:ilvl w:val="0"/>
          <w:numId w:val="20"/>
        </w:numPr>
        <w:rPr>
          <w:rFonts w:eastAsia="Calibri"/>
          <w:color w:val="000000"/>
          <w:shd w:val="clear" w:color="auto" w:fill="FFFFFF"/>
        </w:rPr>
      </w:pPr>
      <w:r w:rsidRPr="00DC3458">
        <w:rPr>
          <w:rFonts w:eastAsia="Calibri"/>
          <w:color w:val="000000"/>
          <w:shd w:val="clear" w:color="auto" w:fill="FFFFFF"/>
        </w:rPr>
        <w:t>Level Two: Near state standard or sufficient improvement</w:t>
      </w:r>
    </w:p>
    <w:p w:rsidR="00DC3458" w:rsidRPr="00DC3458" w:rsidRDefault="00DC3458" w:rsidP="00DC3458">
      <w:pPr>
        <w:numPr>
          <w:ilvl w:val="0"/>
          <w:numId w:val="20"/>
        </w:numPr>
        <w:rPr>
          <w:rFonts w:eastAsia="Calibri"/>
          <w:color w:val="000000"/>
          <w:shd w:val="clear" w:color="auto" w:fill="FFFFFF"/>
        </w:rPr>
      </w:pPr>
      <w:r w:rsidRPr="00DC3458">
        <w:rPr>
          <w:rFonts w:eastAsia="Calibri"/>
          <w:color w:val="000000"/>
          <w:shd w:val="clear" w:color="auto" w:fill="FFFFFF"/>
        </w:rPr>
        <w:t>Level Three: Below state standard</w:t>
      </w:r>
    </w:p>
    <w:p w:rsidR="00E403E1" w:rsidRDefault="00E403E1" w:rsidP="00E403E1">
      <w:pPr>
        <w:jc w:val="center"/>
        <w:rPr>
          <w:rFonts w:eastAsia="Calibri"/>
          <w:i/>
          <w:color w:val="000000"/>
          <w:shd w:val="clear" w:color="auto" w:fill="FFFFFF"/>
        </w:rPr>
      </w:pPr>
    </w:p>
    <w:p w:rsidR="00DC3458" w:rsidRDefault="00DC3458" w:rsidP="00E403E1">
      <w:pPr>
        <w:jc w:val="center"/>
        <w:rPr>
          <w:rFonts w:eastAsia="Calibri"/>
          <w:color w:val="000000"/>
          <w:shd w:val="clear" w:color="auto" w:fill="FFFFFF"/>
        </w:rPr>
      </w:pPr>
      <w:r w:rsidRPr="00DC3458">
        <w:rPr>
          <w:rFonts w:eastAsia="Calibri"/>
          <w:i/>
          <w:color w:val="000000"/>
          <w:shd w:val="clear" w:color="auto" w:fill="FFFFFF"/>
        </w:rPr>
        <w:t>(</w:t>
      </w:r>
      <w:proofErr w:type="gramStart"/>
      <w:r w:rsidRPr="00DC3458">
        <w:rPr>
          <w:rFonts w:eastAsia="Calibri"/>
          <w:i/>
          <w:color w:val="000000"/>
          <w:shd w:val="clear" w:color="auto" w:fill="FFFFFF"/>
        </w:rPr>
        <w:t>more</w:t>
      </w:r>
      <w:proofErr w:type="gramEnd"/>
      <w:r w:rsidRPr="00DC3458">
        <w:rPr>
          <w:rFonts w:eastAsia="Calibri"/>
          <w:i/>
          <w:color w:val="000000"/>
          <w:shd w:val="clear" w:color="auto" w:fill="FFFFFF"/>
        </w:rPr>
        <w:t>)</w:t>
      </w:r>
      <w:r w:rsidR="00E403E1">
        <w:rPr>
          <w:rFonts w:eastAsia="Calibri"/>
          <w:color w:val="000000"/>
          <w:shd w:val="clear" w:color="auto" w:fill="FFFFFF"/>
        </w:rPr>
        <w:t xml:space="preserve"> </w:t>
      </w:r>
    </w:p>
    <w:p w:rsidR="00E403E1" w:rsidRDefault="00E403E1" w:rsidP="00E403E1">
      <w:pPr>
        <w:spacing w:before="1320"/>
        <w:rPr>
          <w:rFonts w:eastAsia="Calibri"/>
          <w:color w:val="000000"/>
          <w:shd w:val="clear" w:color="auto" w:fill="FFFFFF"/>
        </w:rPr>
      </w:pPr>
    </w:p>
    <w:p w:rsidR="00DC3458" w:rsidRPr="00DC3458" w:rsidRDefault="00DC3458" w:rsidP="00E403E1">
      <w:pPr>
        <w:spacing w:before="1320"/>
        <w:rPr>
          <w:rFonts w:eastAsia="Calibri"/>
          <w:color w:val="000000"/>
          <w:shd w:val="clear" w:color="auto" w:fill="FFFFFF"/>
        </w:rPr>
      </w:pPr>
      <w:r w:rsidRPr="00DC3458">
        <w:rPr>
          <w:rFonts w:eastAsia="Calibri"/>
          <w:color w:val="000000"/>
          <w:shd w:val="clear" w:color="auto" w:fill="FFFFFF"/>
        </w:rPr>
        <w:t xml:space="preserve">The following tables summarize how Virginia schools performed on each applicable indicator. </w:t>
      </w:r>
    </w:p>
    <w:p w:rsidR="00DC3458" w:rsidRPr="00DC3458" w:rsidRDefault="00DC3458" w:rsidP="00DC3458">
      <w:pPr>
        <w:outlineLvl w:val="2"/>
        <w:rPr>
          <w:rFonts w:eastAsia="Calibri"/>
          <w:b/>
          <w:color w:val="000000"/>
          <w:sz w:val="24"/>
          <w:szCs w:val="24"/>
          <w:shd w:val="clear" w:color="auto" w:fill="FFFFFF"/>
        </w:rPr>
      </w:pPr>
    </w:p>
    <w:p w:rsidR="00DC3458" w:rsidRPr="00DC3458" w:rsidRDefault="00DC3458" w:rsidP="00DC3458">
      <w:pPr>
        <w:outlineLvl w:val="2"/>
        <w:rPr>
          <w:rFonts w:eastAsia="Calibri"/>
          <w:b/>
          <w:color w:val="000000"/>
          <w:sz w:val="24"/>
          <w:szCs w:val="24"/>
          <w:shd w:val="clear" w:color="auto" w:fill="FFFFFF"/>
        </w:rPr>
      </w:pPr>
      <w:r w:rsidRPr="00DC3458">
        <w:rPr>
          <w:rFonts w:eastAsia="Calibri"/>
          <w:b/>
          <w:color w:val="000000"/>
          <w:sz w:val="24"/>
          <w:szCs w:val="24"/>
          <w:shd w:val="clear" w:color="auto" w:fill="FFFFFF"/>
        </w:rPr>
        <w:t>Academic Achievement Summary</w:t>
      </w:r>
    </w:p>
    <w:tbl>
      <w:tblPr>
        <w:tblStyle w:val="TableGrid6"/>
        <w:tblW w:w="0" w:type="auto"/>
        <w:tblInd w:w="0" w:type="dxa"/>
        <w:tblLook w:val="04A0" w:firstRow="1" w:lastRow="0" w:firstColumn="1" w:lastColumn="0" w:noHBand="0" w:noVBand="1"/>
        <w:tblCaption w:val="Academic Achievement Summary"/>
        <w:tblDescription w:val="Table displays data on number of schools rated at levels one, two and three in English, mathematics and science."/>
      </w:tblPr>
      <w:tblGrid>
        <w:gridCol w:w="1464"/>
        <w:gridCol w:w="2308"/>
        <w:gridCol w:w="2308"/>
        <w:gridCol w:w="2467"/>
      </w:tblGrid>
      <w:tr w:rsidR="00DC3458" w:rsidRPr="00DC3458" w:rsidTr="002C6138">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Indicator</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Schools at Level One</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Schools at Level Two</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Schools at Level Three</w:t>
            </w:r>
          </w:p>
        </w:tc>
      </w:tr>
      <w:tr w:rsidR="00DC3458" w:rsidRPr="00DC3458" w:rsidTr="002C6138">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English</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1,689</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49</w:t>
            </w:r>
          </w:p>
        </w:tc>
      </w:tr>
      <w:tr w:rsidR="00DC3458" w:rsidRPr="00DC3458" w:rsidTr="002C6138">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Mathematics</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1,769</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27</w:t>
            </w:r>
          </w:p>
        </w:tc>
      </w:tr>
      <w:tr w:rsidR="00DC3458" w:rsidRPr="00DC3458" w:rsidTr="002C6138">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Science</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1,649</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60</w:t>
            </w:r>
          </w:p>
        </w:tc>
      </w:tr>
    </w:tbl>
    <w:p w:rsidR="00DC3458" w:rsidRPr="00DC3458" w:rsidRDefault="00DC3458" w:rsidP="00DC3458">
      <w:pPr>
        <w:outlineLvl w:val="2"/>
        <w:rPr>
          <w:rFonts w:eastAsia="Calibri"/>
          <w:b/>
          <w:color w:val="000000"/>
          <w:sz w:val="24"/>
          <w:szCs w:val="24"/>
          <w:shd w:val="clear" w:color="auto" w:fill="FFFFFF"/>
        </w:rPr>
      </w:pPr>
    </w:p>
    <w:p w:rsidR="00DC3458" w:rsidRPr="00DC3458" w:rsidRDefault="00DC3458" w:rsidP="00DC3458">
      <w:pPr>
        <w:outlineLvl w:val="2"/>
        <w:rPr>
          <w:rFonts w:eastAsia="Calibri"/>
          <w:b/>
          <w:color w:val="000000"/>
          <w:sz w:val="24"/>
          <w:szCs w:val="24"/>
          <w:shd w:val="clear" w:color="auto" w:fill="FFFFFF"/>
        </w:rPr>
      </w:pPr>
      <w:r w:rsidRPr="00DC3458">
        <w:rPr>
          <w:rFonts w:eastAsia="Calibri"/>
          <w:b/>
          <w:color w:val="000000"/>
          <w:sz w:val="24"/>
          <w:szCs w:val="24"/>
          <w:shd w:val="clear" w:color="auto" w:fill="FFFFFF"/>
        </w:rPr>
        <w:t>Achievement Gaps Summary</w:t>
      </w:r>
    </w:p>
    <w:tbl>
      <w:tblPr>
        <w:tblStyle w:val="TableGrid6"/>
        <w:tblW w:w="4349" w:type="pct"/>
        <w:tblInd w:w="0" w:type="dxa"/>
        <w:tblLook w:val="04A0" w:firstRow="1" w:lastRow="0" w:firstColumn="1" w:lastColumn="0" w:noHBand="0" w:noVBand="1"/>
        <w:tblCaption w:val="Achievement Gaps Summary"/>
        <w:tblDescription w:val="Table displays the number of schools rated at levels one, two and three for achievement gaps in English and mathematics."/>
      </w:tblPr>
      <w:tblGrid>
        <w:gridCol w:w="1473"/>
        <w:gridCol w:w="2323"/>
        <w:gridCol w:w="2331"/>
        <w:gridCol w:w="2507"/>
      </w:tblGrid>
      <w:tr w:rsidR="00DC3458" w:rsidRPr="00DC3458" w:rsidTr="002C6138">
        <w:trPr>
          <w:tblHeader/>
        </w:trPr>
        <w:tc>
          <w:tcPr>
            <w:tcW w:w="853" w:type="pct"/>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Indicator</w:t>
            </w:r>
          </w:p>
        </w:tc>
        <w:tc>
          <w:tcPr>
            <w:tcW w:w="1345" w:type="pct"/>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Schools at Level One</w:t>
            </w:r>
          </w:p>
        </w:tc>
        <w:tc>
          <w:tcPr>
            <w:tcW w:w="1350" w:type="pct"/>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Schools at Level Two</w:t>
            </w:r>
          </w:p>
        </w:tc>
        <w:tc>
          <w:tcPr>
            <w:tcW w:w="1452" w:type="pct"/>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Schools at Level Three</w:t>
            </w:r>
          </w:p>
        </w:tc>
      </w:tr>
      <w:tr w:rsidR="00DC3458" w:rsidRPr="00DC3458" w:rsidTr="002C6138">
        <w:tc>
          <w:tcPr>
            <w:tcW w:w="853" w:type="pct"/>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English</w:t>
            </w:r>
          </w:p>
        </w:tc>
        <w:tc>
          <w:tcPr>
            <w:tcW w:w="1345" w:type="pct"/>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975</w:t>
            </w:r>
          </w:p>
        </w:tc>
        <w:tc>
          <w:tcPr>
            <w:tcW w:w="1350" w:type="pct"/>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719</w:t>
            </w:r>
          </w:p>
        </w:tc>
        <w:tc>
          <w:tcPr>
            <w:tcW w:w="1452" w:type="pct"/>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125</w:t>
            </w:r>
          </w:p>
        </w:tc>
      </w:tr>
      <w:tr w:rsidR="00DC3458" w:rsidRPr="00DC3458" w:rsidTr="002C6138">
        <w:tc>
          <w:tcPr>
            <w:tcW w:w="853" w:type="pct"/>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Mathematics</w:t>
            </w:r>
          </w:p>
        </w:tc>
        <w:tc>
          <w:tcPr>
            <w:tcW w:w="1345" w:type="pct"/>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1,406</w:t>
            </w:r>
          </w:p>
        </w:tc>
        <w:tc>
          <w:tcPr>
            <w:tcW w:w="1350" w:type="pct"/>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352</w:t>
            </w:r>
          </w:p>
        </w:tc>
        <w:tc>
          <w:tcPr>
            <w:tcW w:w="1452" w:type="pct"/>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61</w:t>
            </w:r>
          </w:p>
        </w:tc>
      </w:tr>
    </w:tbl>
    <w:p w:rsidR="00DC3458" w:rsidRPr="00DC3458" w:rsidRDefault="00DC3458" w:rsidP="00DC3458">
      <w:pPr>
        <w:outlineLvl w:val="2"/>
        <w:rPr>
          <w:rFonts w:eastAsia="Calibri"/>
          <w:b/>
          <w:color w:val="000000"/>
          <w:sz w:val="24"/>
          <w:szCs w:val="24"/>
          <w:shd w:val="clear" w:color="auto" w:fill="FFFFFF"/>
        </w:rPr>
      </w:pPr>
    </w:p>
    <w:p w:rsidR="00DC3458" w:rsidRPr="00DC3458" w:rsidRDefault="00DC3458" w:rsidP="00DC3458">
      <w:pPr>
        <w:outlineLvl w:val="2"/>
        <w:rPr>
          <w:rFonts w:eastAsia="Calibri"/>
          <w:b/>
          <w:color w:val="000000"/>
          <w:sz w:val="24"/>
          <w:szCs w:val="24"/>
          <w:shd w:val="clear" w:color="auto" w:fill="FFFFFF"/>
        </w:rPr>
      </w:pPr>
      <w:r w:rsidRPr="00DC3458">
        <w:rPr>
          <w:rFonts w:eastAsia="Calibri"/>
          <w:b/>
          <w:color w:val="000000"/>
          <w:sz w:val="24"/>
          <w:szCs w:val="24"/>
          <w:shd w:val="clear" w:color="auto" w:fill="FFFFFF"/>
        </w:rPr>
        <w:t>Student Engagement and Outcomes Summary</w:t>
      </w:r>
    </w:p>
    <w:tbl>
      <w:tblPr>
        <w:tblStyle w:val="TableGrid6"/>
        <w:tblW w:w="8928" w:type="dxa"/>
        <w:tblInd w:w="0" w:type="dxa"/>
        <w:tblLook w:val="04A0" w:firstRow="1" w:lastRow="0" w:firstColumn="1" w:lastColumn="0" w:noHBand="0" w:noVBand="1"/>
        <w:tblCaption w:val="Student Engagement and Outcomes Summary"/>
        <w:tblDescription w:val="Table displays the number of schools rated at levels one, two and three for chronic absenteeism, dropout rate (high schools) and graduation and completion (high schools)."/>
      </w:tblPr>
      <w:tblGrid>
        <w:gridCol w:w="4518"/>
        <w:gridCol w:w="1530"/>
        <w:gridCol w:w="1440"/>
        <w:gridCol w:w="1440"/>
      </w:tblGrid>
      <w:tr w:rsidR="00DC3458" w:rsidRPr="00DC3458" w:rsidTr="002C6138">
        <w:trPr>
          <w:tblHeader/>
        </w:trPr>
        <w:tc>
          <w:tcPr>
            <w:tcW w:w="4518"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Indicator</w:t>
            </w:r>
          </w:p>
        </w:tc>
        <w:tc>
          <w:tcPr>
            <w:tcW w:w="1530"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Schools at</w:t>
            </w:r>
          </w:p>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Level One</w:t>
            </w:r>
          </w:p>
        </w:tc>
        <w:tc>
          <w:tcPr>
            <w:tcW w:w="1440"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Schools at</w:t>
            </w:r>
          </w:p>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Level Two</w:t>
            </w:r>
          </w:p>
        </w:tc>
        <w:tc>
          <w:tcPr>
            <w:tcW w:w="1440"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Schools at</w:t>
            </w:r>
          </w:p>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Level Three</w:t>
            </w:r>
          </w:p>
        </w:tc>
      </w:tr>
      <w:tr w:rsidR="00DC3458" w:rsidRPr="00DC3458" w:rsidTr="002C6138">
        <w:tc>
          <w:tcPr>
            <w:tcW w:w="4518"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Chronic Absenteeism</w:t>
            </w:r>
          </w:p>
        </w:tc>
        <w:tc>
          <w:tcPr>
            <w:tcW w:w="1530"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1,663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133</w:t>
            </w:r>
          </w:p>
        </w:tc>
        <w:tc>
          <w:tcPr>
            <w:tcW w:w="1440"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23</w:t>
            </w:r>
          </w:p>
        </w:tc>
      </w:tr>
      <w:tr w:rsidR="00DC3458" w:rsidRPr="00DC3458" w:rsidTr="002C6138">
        <w:tc>
          <w:tcPr>
            <w:tcW w:w="4518"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Dropout Rate (High Schools)</w:t>
            </w:r>
          </w:p>
        </w:tc>
        <w:tc>
          <w:tcPr>
            <w:tcW w:w="1530"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256</w:t>
            </w:r>
          </w:p>
        </w:tc>
        <w:tc>
          <w:tcPr>
            <w:tcW w:w="1440"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43</w:t>
            </w:r>
          </w:p>
        </w:tc>
        <w:tc>
          <w:tcPr>
            <w:tcW w:w="1440"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31</w:t>
            </w:r>
          </w:p>
        </w:tc>
      </w:tr>
      <w:tr w:rsidR="00DC3458" w:rsidRPr="00DC3458" w:rsidTr="002C6138">
        <w:tc>
          <w:tcPr>
            <w:tcW w:w="4518"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Graduation &amp; Completion (High Schools)</w:t>
            </w:r>
          </w:p>
        </w:tc>
        <w:tc>
          <w:tcPr>
            <w:tcW w:w="1530"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302</w:t>
            </w:r>
          </w:p>
        </w:tc>
        <w:tc>
          <w:tcPr>
            <w:tcW w:w="1440"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9</w:t>
            </w:r>
          </w:p>
        </w:tc>
      </w:tr>
    </w:tbl>
    <w:p w:rsidR="00DC3458" w:rsidRPr="00DC3458" w:rsidRDefault="00DC3458" w:rsidP="00DC3458">
      <w:pPr>
        <w:rPr>
          <w:rFonts w:eastAsia="Times New Roman"/>
        </w:rPr>
      </w:pPr>
    </w:p>
    <w:p w:rsidR="00DC3458" w:rsidRPr="00DC3458" w:rsidRDefault="00DC3458" w:rsidP="00DC3458">
      <w:pPr>
        <w:rPr>
          <w:rFonts w:eastAsia="Times New Roman"/>
          <w:color w:val="000000"/>
        </w:rPr>
      </w:pPr>
      <w:r w:rsidRPr="00DC3458">
        <w:rPr>
          <w:rFonts w:eastAsia="Times New Roman"/>
          <w:color w:val="000000"/>
        </w:rPr>
        <w:t>As a consequence of the school quality indicator ratings released today, 252 schools will undergo academic reviews.</w:t>
      </w:r>
    </w:p>
    <w:p w:rsidR="00DC3458" w:rsidRPr="00DC3458" w:rsidRDefault="00DC3458" w:rsidP="00DC3458">
      <w:pPr>
        <w:rPr>
          <w:rFonts w:eastAsia="Times New Roman"/>
        </w:rPr>
      </w:pPr>
    </w:p>
    <w:p w:rsidR="00DC3458" w:rsidRPr="00DC3458" w:rsidRDefault="00DC3458" w:rsidP="00DC3458">
      <w:pPr>
        <w:rPr>
          <w:rFonts w:eastAsia="Calibri"/>
          <w:color w:val="000000"/>
          <w:shd w:val="clear" w:color="auto" w:fill="FFFFFF"/>
        </w:rPr>
      </w:pPr>
      <w:r w:rsidRPr="00DC3458">
        <w:rPr>
          <w:rFonts w:eastAsia="Calibri"/>
          <w:color w:val="000000"/>
          <w:shd w:val="clear" w:color="auto" w:fill="FFFFFF"/>
        </w:rPr>
        <w:t>Schools earn one of the following three accreditation ratings based on performance on school quality indicators, as follows:</w:t>
      </w:r>
    </w:p>
    <w:p w:rsidR="00DC3458" w:rsidRPr="00DC3458" w:rsidRDefault="00DC3458" w:rsidP="00DC3458">
      <w:pPr>
        <w:numPr>
          <w:ilvl w:val="0"/>
          <w:numId w:val="21"/>
        </w:numPr>
        <w:rPr>
          <w:rFonts w:eastAsia="Calibri"/>
          <w:color w:val="000000"/>
          <w:shd w:val="clear" w:color="auto" w:fill="FFFFFF"/>
        </w:rPr>
      </w:pPr>
      <w:r w:rsidRPr="00DC3458">
        <w:rPr>
          <w:rFonts w:eastAsia="Calibri"/>
          <w:color w:val="000000"/>
          <w:shd w:val="clear" w:color="auto" w:fill="FFFFFF"/>
        </w:rPr>
        <w:t xml:space="preserve">Accredited – Schools with all school quality indicators at either Level One or Level Two. In addition, high-performing schools with waivers from annual accreditation authorized by the General Assembly are rated as Accredited. </w:t>
      </w:r>
    </w:p>
    <w:p w:rsidR="00DC3458" w:rsidRPr="00DC3458" w:rsidRDefault="00DC3458" w:rsidP="00DC3458">
      <w:pPr>
        <w:numPr>
          <w:ilvl w:val="0"/>
          <w:numId w:val="21"/>
        </w:numPr>
        <w:rPr>
          <w:rFonts w:eastAsia="Calibri"/>
          <w:color w:val="000000"/>
          <w:shd w:val="clear" w:color="auto" w:fill="FFFFFF"/>
        </w:rPr>
      </w:pPr>
      <w:r w:rsidRPr="00DC3458">
        <w:rPr>
          <w:rFonts w:eastAsia="Calibri"/>
          <w:color w:val="000000"/>
          <w:shd w:val="clear" w:color="auto" w:fill="FFFFFF"/>
        </w:rPr>
        <w:t>Accredited with Conditions – Schools with one or more school quality indicators at Level Three</w:t>
      </w:r>
    </w:p>
    <w:p w:rsidR="00DC3458" w:rsidRPr="00DC3458" w:rsidRDefault="00DC3458" w:rsidP="00DC3458">
      <w:pPr>
        <w:numPr>
          <w:ilvl w:val="0"/>
          <w:numId w:val="21"/>
        </w:numPr>
        <w:rPr>
          <w:rFonts w:eastAsia="Calibri"/>
          <w:color w:val="000000"/>
          <w:shd w:val="clear" w:color="auto" w:fill="FFFFFF"/>
        </w:rPr>
      </w:pPr>
      <w:r w:rsidRPr="00DC3458">
        <w:rPr>
          <w:rFonts w:eastAsia="Calibri"/>
          <w:color w:val="000000"/>
          <w:shd w:val="clear" w:color="auto" w:fill="FFFFFF"/>
        </w:rPr>
        <w:t xml:space="preserve">Accreditation Denied – Schools that fail to adopt or fully implement required corrective actions to address Level Three school-quality indicators. </w:t>
      </w:r>
    </w:p>
    <w:p w:rsidR="00DC3458" w:rsidRPr="00DC3458" w:rsidRDefault="00DC3458" w:rsidP="00DC3458">
      <w:pPr>
        <w:rPr>
          <w:rFonts w:eastAsia="Calibri"/>
          <w:color w:val="000000"/>
          <w:shd w:val="clear" w:color="auto" w:fill="FFFFFF"/>
        </w:rPr>
      </w:pPr>
    </w:p>
    <w:p w:rsidR="00DC3458" w:rsidRPr="00DC3458" w:rsidRDefault="00DC3458" w:rsidP="00DC3458">
      <w:pPr>
        <w:rPr>
          <w:rFonts w:eastAsia="Calibri"/>
          <w:color w:val="000000"/>
          <w:shd w:val="clear" w:color="auto" w:fill="FFFFFF"/>
        </w:rPr>
      </w:pPr>
      <w:r w:rsidRPr="00DC3458">
        <w:rPr>
          <w:rFonts w:eastAsia="Calibri"/>
          <w:color w:val="000000"/>
          <w:shd w:val="clear" w:color="auto" w:fill="FFFFFF"/>
        </w:rPr>
        <w:t xml:space="preserve">The following table summarizes overall school accreditation ratings for 2019-2020. </w:t>
      </w:r>
    </w:p>
    <w:p w:rsidR="00DC3458" w:rsidRPr="00DC3458" w:rsidRDefault="00DC3458" w:rsidP="00DC3458">
      <w:pPr>
        <w:rPr>
          <w:rFonts w:eastAsia="Calibri"/>
          <w:color w:val="000000"/>
          <w:shd w:val="clear" w:color="auto" w:fill="FFFFFF"/>
        </w:rPr>
      </w:pPr>
    </w:p>
    <w:p w:rsidR="00DC3458" w:rsidRPr="00DC3458" w:rsidRDefault="00DC3458" w:rsidP="00DC3458">
      <w:pPr>
        <w:outlineLvl w:val="2"/>
        <w:rPr>
          <w:rFonts w:eastAsia="Calibri"/>
          <w:b/>
          <w:color w:val="000000"/>
          <w:shd w:val="clear" w:color="auto" w:fill="FFFFFF"/>
        </w:rPr>
      </w:pPr>
      <w:r w:rsidRPr="00DC3458">
        <w:rPr>
          <w:rFonts w:eastAsia="Calibri"/>
          <w:b/>
          <w:color w:val="000000"/>
          <w:shd w:val="clear" w:color="auto" w:fill="FFFFFF"/>
        </w:rPr>
        <w:t>State School Accreditation Summary</w:t>
      </w:r>
    </w:p>
    <w:tbl>
      <w:tblPr>
        <w:tblStyle w:val="TableGrid7"/>
        <w:tblW w:w="0" w:type="auto"/>
        <w:tblInd w:w="0" w:type="dxa"/>
        <w:tblLook w:val="04A0" w:firstRow="1" w:lastRow="0" w:firstColumn="1" w:lastColumn="0" w:noHBand="0" w:noVBand="1"/>
        <w:tblCaption w:val="State school accreditation summary"/>
        <w:tblDescription w:val="Table displays the number and percentage of schools rated as Accredited, Accredited Pending Review of Alternative Plan, Accreditation with Conditions, and New School."/>
      </w:tblPr>
      <w:tblGrid>
        <w:gridCol w:w="4753"/>
        <w:gridCol w:w="2087"/>
        <w:gridCol w:w="2430"/>
      </w:tblGrid>
      <w:tr w:rsidR="00DC3458" w:rsidRPr="00DC3458" w:rsidTr="002C6138">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Accreditation Rating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Number of Schools</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Percentage of Schools</w:t>
            </w:r>
          </w:p>
        </w:tc>
      </w:tr>
      <w:tr w:rsidR="00DC3458" w:rsidRPr="00DC3458" w:rsidTr="00DC3458">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Accredited</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1,682</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92%</w:t>
            </w:r>
          </w:p>
        </w:tc>
      </w:tr>
      <w:tr w:rsidR="00DC3458" w:rsidRPr="00DC3458" w:rsidTr="00DC3458">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Accredited Pending Review of Alternative Plan</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&lt;1%</w:t>
            </w:r>
          </w:p>
        </w:tc>
      </w:tr>
      <w:tr w:rsidR="00DC3458" w:rsidRPr="00DC3458" w:rsidTr="00DC3458">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Accredited With Conditions</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132</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7%</w:t>
            </w:r>
          </w:p>
        </w:tc>
      </w:tr>
      <w:tr w:rsidR="00DC3458" w:rsidRPr="00DC3458" w:rsidTr="00DC3458">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New School</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&lt;1%</w:t>
            </w:r>
          </w:p>
        </w:tc>
      </w:tr>
      <w:tr w:rsidR="00DC3458" w:rsidRPr="00DC3458" w:rsidTr="00DC3458">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rPr>
                <w:rFonts w:eastAsia="Times New Roman"/>
                <w:color w:val="000000"/>
                <w:shd w:val="clear" w:color="auto" w:fill="FFFFFF"/>
              </w:rPr>
            </w:pPr>
            <w:r w:rsidRPr="00DC3458">
              <w:rPr>
                <w:rFonts w:eastAsia="Times New Roman"/>
                <w:color w:val="000000"/>
                <w:shd w:val="clear" w:color="auto" w:fill="FFFFFF"/>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1,825</w:t>
            </w:r>
          </w:p>
        </w:tc>
        <w:tc>
          <w:tcPr>
            <w:tcW w:w="0" w:type="auto"/>
            <w:tcBorders>
              <w:top w:val="single" w:sz="4" w:space="0" w:color="auto"/>
              <w:left w:val="single" w:sz="4" w:space="0" w:color="auto"/>
              <w:bottom w:val="single" w:sz="4" w:space="0" w:color="auto"/>
              <w:right w:val="single" w:sz="4" w:space="0" w:color="auto"/>
            </w:tcBorders>
            <w:vAlign w:val="center"/>
            <w:hideMark/>
          </w:tcPr>
          <w:p w:rsidR="00DC3458" w:rsidRPr="00DC3458" w:rsidRDefault="00DC3458" w:rsidP="00DC3458">
            <w:pPr>
              <w:jc w:val="center"/>
              <w:rPr>
                <w:rFonts w:eastAsia="Times New Roman"/>
                <w:color w:val="000000"/>
                <w:shd w:val="clear" w:color="auto" w:fill="FFFFFF"/>
              </w:rPr>
            </w:pPr>
            <w:r w:rsidRPr="00DC3458">
              <w:rPr>
                <w:rFonts w:eastAsia="Times New Roman"/>
                <w:color w:val="000000"/>
                <w:shd w:val="clear" w:color="auto" w:fill="FFFFFF"/>
              </w:rPr>
              <w:t>100%</w:t>
            </w:r>
          </w:p>
        </w:tc>
      </w:tr>
    </w:tbl>
    <w:p w:rsidR="00DC3458" w:rsidRPr="00DC3458" w:rsidRDefault="00DC3458" w:rsidP="00DC3458">
      <w:pPr>
        <w:rPr>
          <w:rFonts w:eastAsia="Times New Roman"/>
        </w:rPr>
      </w:pPr>
    </w:p>
    <w:p w:rsidR="00DC3458" w:rsidRPr="00DC3458" w:rsidRDefault="00DC3458" w:rsidP="00DC3458">
      <w:pPr>
        <w:rPr>
          <w:rFonts w:eastAsia="Times New Roman"/>
        </w:rPr>
      </w:pPr>
      <w:r w:rsidRPr="00DC3458">
        <w:rPr>
          <w:rFonts w:eastAsia="Times New Roman"/>
        </w:rPr>
        <w:t xml:space="preserve">The 1,682 schools with an overall rating of Accredited include 61 schools with waivers from annual accreditation based on previous high performance that otherwise would have been rated as Accredited with Conditions. </w:t>
      </w:r>
    </w:p>
    <w:p w:rsidR="00DC3458" w:rsidRPr="00DC3458" w:rsidRDefault="00DC3458" w:rsidP="00DC3458">
      <w:pPr>
        <w:rPr>
          <w:rFonts w:eastAsia="Times New Roman"/>
        </w:rPr>
      </w:pPr>
    </w:p>
    <w:p w:rsidR="00DC3458" w:rsidRDefault="00DC3458" w:rsidP="00E403E1">
      <w:pPr>
        <w:jc w:val="center"/>
        <w:rPr>
          <w:rFonts w:eastAsia="Times New Roman"/>
        </w:rPr>
      </w:pPr>
      <w:r w:rsidRPr="00DC3458">
        <w:rPr>
          <w:rFonts w:eastAsia="Times New Roman"/>
          <w:i/>
        </w:rPr>
        <w:t>(</w:t>
      </w:r>
      <w:proofErr w:type="gramStart"/>
      <w:r w:rsidRPr="00DC3458">
        <w:rPr>
          <w:rFonts w:eastAsia="Times New Roman"/>
          <w:i/>
        </w:rPr>
        <w:t>more</w:t>
      </w:r>
      <w:proofErr w:type="gramEnd"/>
      <w:r w:rsidRPr="00DC3458">
        <w:rPr>
          <w:rFonts w:eastAsia="Times New Roman"/>
          <w:i/>
        </w:rPr>
        <w:t>)</w:t>
      </w:r>
      <w:r w:rsidR="00E403E1">
        <w:rPr>
          <w:rFonts w:eastAsia="Times New Roman"/>
        </w:rPr>
        <w:t xml:space="preserve"> </w:t>
      </w:r>
    </w:p>
    <w:p w:rsidR="00E403E1" w:rsidRDefault="00E403E1" w:rsidP="00E403E1">
      <w:pPr>
        <w:spacing w:before="720"/>
        <w:rPr>
          <w:rFonts w:eastAsia="Times New Roman"/>
        </w:rPr>
      </w:pPr>
    </w:p>
    <w:p w:rsidR="00DC3458" w:rsidRPr="00DC3458" w:rsidRDefault="00DC3458" w:rsidP="00E403E1">
      <w:pPr>
        <w:spacing w:before="720"/>
        <w:rPr>
          <w:rFonts w:eastAsia="Times New Roman"/>
        </w:rPr>
      </w:pPr>
      <w:r w:rsidRPr="00DC3458">
        <w:rPr>
          <w:rFonts w:eastAsia="Times New Roman"/>
        </w:rPr>
        <w:t xml:space="preserve">Every school under the 2017 accreditation regulations — regardless of performance — must develop a multi-year plan to support continuous improvement on each school quality indicator. The revised accreditation standards require the following specific local and state actions to improve performance on each indicator: </w:t>
      </w:r>
    </w:p>
    <w:p w:rsidR="00DC3458" w:rsidRPr="00DC3458" w:rsidRDefault="00DC3458" w:rsidP="00DC3458">
      <w:pPr>
        <w:numPr>
          <w:ilvl w:val="0"/>
          <w:numId w:val="22"/>
        </w:numPr>
        <w:rPr>
          <w:rFonts w:eastAsia="Times New Roman"/>
        </w:rPr>
      </w:pPr>
      <w:r w:rsidRPr="00DC3458">
        <w:rPr>
          <w:rFonts w:eastAsia="Times New Roman"/>
        </w:rPr>
        <w:t>Level One – School and division continue to monitor the indicator and the school's multi-year plan for continuous improvement.</w:t>
      </w:r>
    </w:p>
    <w:p w:rsidR="00DC3458" w:rsidRPr="00DC3458" w:rsidRDefault="00DC3458" w:rsidP="00DC3458">
      <w:pPr>
        <w:numPr>
          <w:ilvl w:val="0"/>
          <w:numId w:val="22"/>
        </w:numPr>
        <w:rPr>
          <w:rFonts w:eastAsia="Times New Roman"/>
        </w:rPr>
      </w:pPr>
      <w:r w:rsidRPr="00DC3458">
        <w:rPr>
          <w:rFonts w:eastAsia="Times New Roman"/>
        </w:rPr>
        <w:t>Level Two – School and division implement essential actions and research-based strategies to improve performance on the indicator to Level One. If at Level Two for overall performance in English, mathematics or science, school must also undergo an academic review conducted by VDOE or under department guidance.</w:t>
      </w:r>
    </w:p>
    <w:p w:rsidR="00DC3458" w:rsidRPr="00DC3458" w:rsidRDefault="00DC3458" w:rsidP="00DC3458">
      <w:pPr>
        <w:numPr>
          <w:ilvl w:val="0"/>
          <w:numId w:val="22"/>
        </w:numPr>
        <w:rPr>
          <w:rFonts w:eastAsia="Times New Roman"/>
        </w:rPr>
      </w:pPr>
      <w:r w:rsidRPr="00DC3458">
        <w:rPr>
          <w:rFonts w:eastAsia="Times New Roman"/>
        </w:rPr>
        <w:t>Level Three – School undergoes an academic review conducted by VDOE or under its guidance. School and school division – in consultation with VDOE – develop and implement a corrective action plan.</w:t>
      </w:r>
    </w:p>
    <w:p w:rsidR="00DC3458" w:rsidRPr="00DC3458" w:rsidRDefault="00DC3458" w:rsidP="00DC3458">
      <w:pPr>
        <w:rPr>
          <w:rFonts w:eastAsia="Times New Roman"/>
        </w:rPr>
      </w:pPr>
    </w:p>
    <w:p w:rsidR="00DC3458" w:rsidRPr="00DC3458" w:rsidRDefault="00DC3458" w:rsidP="00DC3458">
      <w:pPr>
        <w:rPr>
          <w:rFonts w:eastAsia="Times New Roman"/>
        </w:rPr>
      </w:pPr>
      <w:r w:rsidRPr="00DC3458">
        <w:rPr>
          <w:rFonts w:eastAsia="Times New Roman"/>
        </w:rPr>
        <w:t>School divisions that do not demonstrate evidence of progress in adopting or implementing corrective action plans for a school or schools with indicators at Level Three will be required to enter into a memorandum of understanding between the local school board and the state Board of Education defining responsibilities and essential actions to improve performance. </w:t>
      </w:r>
    </w:p>
    <w:p w:rsidR="00DC3458" w:rsidRPr="00DC3458" w:rsidRDefault="00DC3458" w:rsidP="00DC3458">
      <w:pPr>
        <w:rPr>
          <w:rFonts w:eastAsia="Times New Roman"/>
        </w:rPr>
      </w:pPr>
    </w:p>
    <w:p w:rsidR="00DC3458" w:rsidRPr="00DC3458" w:rsidRDefault="00DC3458" w:rsidP="00DC3458">
      <w:pPr>
        <w:rPr>
          <w:rFonts w:eastAsia="Times New Roman"/>
        </w:rPr>
      </w:pPr>
      <w:r w:rsidRPr="00DC3458">
        <w:rPr>
          <w:rFonts w:eastAsia="Times New Roman"/>
        </w:rPr>
        <w:t xml:space="preserve">School-by-school school quality indicator data and accreditation ratings are available on updated online </w:t>
      </w:r>
      <w:hyperlink r:id="rId8" w:history="1">
        <w:r w:rsidRPr="00DC3458">
          <w:rPr>
            <w:rFonts w:eastAsia="Times New Roman"/>
            <w:color w:val="0000FF"/>
            <w:u w:val="single"/>
          </w:rPr>
          <w:t>School Quality Profile reports</w:t>
        </w:r>
      </w:hyperlink>
      <w:r w:rsidRPr="00DC3458">
        <w:rPr>
          <w:rFonts w:eastAsia="Times New Roman"/>
        </w:rPr>
        <w:t xml:space="preserve"> and on </w:t>
      </w:r>
      <w:hyperlink r:id="rId9" w:history="1">
        <w:r w:rsidRPr="00DC3458">
          <w:rPr>
            <w:rFonts w:eastAsia="Times New Roman"/>
            <w:color w:val="0000FF"/>
            <w:u w:val="single"/>
          </w:rPr>
          <w:t>the VDOE website</w:t>
        </w:r>
      </w:hyperlink>
      <w:r w:rsidRPr="00DC3458">
        <w:rPr>
          <w:rFonts w:eastAsia="Times New Roman"/>
        </w:rPr>
        <w:t>.</w:t>
      </w:r>
    </w:p>
    <w:p w:rsidR="00DC3458" w:rsidRPr="00DC3458" w:rsidRDefault="00DC3458" w:rsidP="00DC3458">
      <w:pPr>
        <w:rPr>
          <w:rFonts w:eastAsia="Times New Roman"/>
        </w:rPr>
      </w:pPr>
    </w:p>
    <w:p w:rsidR="00DC3458" w:rsidRPr="00DC3458" w:rsidRDefault="00DC3458" w:rsidP="00E403E1">
      <w:pPr>
        <w:tabs>
          <w:tab w:val="left" w:pos="1170"/>
        </w:tabs>
        <w:ind w:right="-162"/>
        <w:jc w:val="center"/>
        <w:rPr>
          <w:rFonts w:eastAsia="Times New Roman"/>
          <w:color w:val="000000"/>
        </w:rPr>
      </w:pPr>
      <w:r w:rsidRPr="00DC3458">
        <w:rPr>
          <w:rFonts w:eastAsia="Times New Roman"/>
          <w:color w:val="000000"/>
        </w:rPr>
        <w:t># # #</w:t>
      </w:r>
    </w:p>
    <w:p w:rsidR="00DC3458" w:rsidRPr="002868AE" w:rsidRDefault="00DC3458" w:rsidP="002868AE">
      <w:pPr>
        <w:keepNext/>
        <w:keepLines/>
        <w:jc w:val="center"/>
        <w:outlineLvl w:val="0"/>
        <w:rPr>
          <w:rFonts w:eastAsia="Times New Roman" w:cs="Times New Roman"/>
          <w:b/>
        </w:rPr>
      </w:pPr>
    </w:p>
    <w:sectPr w:rsidR="00DC3458" w:rsidRPr="002868AE" w:rsidSect="007A4AC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0" w:right="1152" w:bottom="864"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21E" w:rsidRDefault="003F621E" w:rsidP="00506ABA">
      <w:r>
        <w:separator/>
      </w:r>
    </w:p>
  </w:endnote>
  <w:endnote w:type="continuationSeparator" w:id="0">
    <w:p w:rsidR="003F621E" w:rsidRDefault="003F621E" w:rsidP="0050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BA" w:rsidRDefault="00506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BA" w:rsidRDefault="00506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BA" w:rsidRDefault="00506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21E" w:rsidRDefault="003F621E" w:rsidP="00506ABA">
      <w:r>
        <w:separator/>
      </w:r>
    </w:p>
  </w:footnote>
  <w:footnote w:type="continuationSeparator" w:id="0">
    <w:p w:rsidR="003F621E" w:rsidRDefault="003F621E" w:rsidP="00506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BA" w:rsidRDefault="00506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BA" w:rsidRDefault="00506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BA" w:rsidRDefault="00506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67E"/>
    <w:multiLevelType w:val="hybridMultilevel"/>
    <w:tmpl w:val="946A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66116"/>
    <w:multiLevelType w:val="hybridMultilevel"/>
    <w:tmpl w:val="887A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7A52C9"/>
    <w:multiLevelType w:val="hybridMultilevel"/>
    <w:tmpl w:val="81CC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B1BE5"/>
    <w:multiLevelType w:val="hybridMultilevel"/>
    <w:tmpl w:val="C9CA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B1220"/>
    <w:multiLevelType w:val="hybridMultilevel"/>
    <w:tmpl w:val="35043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733F85"/>
    <w:multiLevelType w:val="hybridMultilevel"/>
    <w:tmpl w:val="0CE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725CF"/>
    <w:multiLevelType w:val="hybridMultilevel"/>
    <w:tmpl w:val="814A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100B0"/>
    <w:multiLevelType w:val="multilevel"/>
    <w:tmpl w:val="3F88C9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90E56"/>
    <w:multiLevelType w:val="hybridMultilevel"/>
    <w:tmpl w:val="745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F2C1F"/>
    <w:multiLevelType w:val="hybridMultilevel"/>
    <w:tmpl w:val="9468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74974"/>
    <w:multiLevelType w:val="hybridMultilevel"/>
    <w:tmpl w:val="73C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76768"/>
    <w:multiLevelType w:val="hybridMultilevel"/>
    <w:tmpl w:val="BBEE3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6D3247"/>
    <w:multiLevelType w:val="hybridMultilevel"/>
    <w:tmpl w:val="1A08F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FDF2D18"/>
    <w:multiLevelType w:val="hybridMultilevel"/>
    <w:tmpl w:val="72F4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A0886"/>
    <w:multiLevelType w:val="hybridMultilevel"/>
    <w:tmpl w:val="7A62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6C4CBD"/>
    <w:multiLevelType w:val="hybridMultilevel"/>
    <w:tmpl w:val="57CE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3A7B"/>
    <w:multiLevelType w:val="hybridMultilevel"/>
    <w:tmpl w:val="A180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46213"/>
    <w:multiLevelType w:val="hybridMultilevel"/>
    <w:tmpl w:val="7574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C0AA8"/>
    <w:multiLevelType w:val="multilevel"/>
    <w:tmpl w:val="F982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39521F"/>
    <w:multiLevelType w:val="hybridMultilevel"/>
    <w:tmpl w:val="4BF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60FB1"/>
    <w:multiLevelType w:val="multilevel"/>
    <w:tmpl w:val="725CCD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703165"/>
    <w:multiLevelType w:val="hybridMultilevel"/>
    <w:tmpl w:val="67E63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0"/>
  </w:num>
  <w:num w:numId="5">
    <w:abstractNumId w:val="4"/>
  </w:num>
  <w:num w:numId="6">
    <w:abstractNumId w:val="11"/>
  </w:num>
  <w:num w:numId="7">
    <w:abstractNumId w:val="6"/>
  </w:num>
  <w:num w:numId="8">
    <w:abstractNumId w:val="18"/>
  </w:num>
  <w:num w:numId="9">
    <w:abstractNumId w:val="9"/>
  </w:num>
  <w:num w:numId="10">
    <w:abstractNumId w:val="15"/>
  </w:num>
  <w:num w:numId="11">
    <w:abstractNumId w:val="19"/>
  </w:num>
  <w:num w:numId="12">
    <w:abstractNumId w:val="17"/>
  </w:num>
  <w:num w:numId="13">
    <w:abstractNumId w:val="14"/>
  </w:num>
  <w:num w:numId="14">
    <w:abstractNumId w:val="7"/>
  </w:num>
  <w:num w:numId="15">
    <w:abstractNumId w:val="12"/>
  </w:num>
  <w:num w:numId="16">
    <w:abstractNumId w:val="2"/>
  </w:num>
  <w:num w:numId="17">
    <w:abstractNumId w:val="13"/>
  </w:num>
  <w:num w:numId="18">
    <w:abstractNumId w:val="16"/>
  </w:num>
  <w:num w:numId="19">
    <w:abstractNumId w:val="5"/>
  </w:num>
  <w:num w:numId="20">
    <w:abstractNumId w:val="1"/>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80"/>
    <w:rsid w:val="00046BDF"/>
    <w:rsid w:val="00050123"/>
    <w:rsid w:val="00051ABC"/>
    <w:rsid w:val="0005658F"/>
    <w:rsid w:val="00062E65"/>
    <w:rsid w:val="00064EDE"/>
    <w:rsid w:val="00065149"/>
    <w:rsid w:val="0007795A"/>
    <w:rsid w:val="000847CB"/>
    <w:rsid w:val="000939C0"/>
    <w:rsid w:val="0009468E"/>
    <w:rsid w:val="000A384F"/>
    <w:rsid w:val="000A62E4"/>
    <w:rsid w:val="000B1707"/>
    <w:rsid w:val="000B2AC1"/>
    <w:rsid w:val="000B590A"/>
    <w:rsid w:val="000D06D4"/>
    <w:rsid w:val="000D0EA9"/>
    <w:rsid w:val="000F1529"/>
    <w:rsid w:val="000F6B1F"/>
    <w:rsid w:val="001007E6"/>
    <w:rsid w:val="00115759"/>
    <w:rsid w:val="00136FC7"/>
    <w:rsid w:val="00140202"/>
    <w:rsid w:val="00143E34"/>
    <w:rsid w:val="0014759D"/>
    <w:rsid w:val="00150807"/>
    <w:rsid w:val="0015201E"/>
    <w:rsid w:val="00156F36"/>
    <w:rsid w:val="00156FE2"/>
    <w:rsid w:val="00177CDB"/>
    <w:rsid w:val="001815DE"/>
    <w:rsid w:val="00183148"/>
    <w:rsid w:val="00185099"/>
    <w:rsid w:val="00196689"/>
    <w:rsid w:val="001A1C8E"/>
    <w:rsid w:val="001A7160"/>
    <w:rsid w:val="001B6900"/>
    <w:rsid w:val="001C6A93"/>
    <w:rsid w:val="001D4EEC"/>
    <w:rsid w:val="001E6349"/>
    <w:rsid w:val="001E6487"/>
    <w:rsid w:val="002068F6"/>
    <w:rsid w:val="00217361"/>
    <w:rsid w:val="0024731D"/>
    <w:rsid w:val="00260626"/>
    <w:rsid w:val="002644D7"/>
    <w:rsid w:val="0027628D"/>
    <w:rsid w:val="00277214"/>
    <w:rsid w:val="00282830"/>
    <w:rsid w:val="002868AE"/>
    <w:rsid w:val="002A2E9D"/>
    <w:rsid w:val="002A5765"/>
    <w:rsid w:val="002C6138"/>
    <w:rsid w:val="002E2C56"/>
    <w:rsid w:val="003021F6"/>
    <w:rsid w:val="003023C2"/>
    <w:rsid w:val="00302F24"/>
    <w:rsid w:val="0033270D"/>
    <w:rsid w:val="00340F9D"/>
    <w:rsid w:val="00345C3A"/>
    <w:rsid w:val="00347C7E"/>
    <w:rsid w:val="00353463"/>
    <w:rsid w:val="00356621"/>
    <w:rsid w:val="003826B5"/>
    <w:rsid w:val="00386F33"/>
    <w:rsid w:val="003A6323"/>
    <w:rsid w:val="003A6E80"/>
    <w:rsid w:val="003B4497"/>
    <w:rsid w:val="003D1592"/>
    <w:rsid w:val="003F22D8"/>
    <w:rsid w:val="003F621E"/>
    <w:rsid w:val="00402DA7"/>
    <w:rsid w:val="00402FDB"/>
    <w:rsid w:val="00420363"/>
    <w:rsid w:val="0042343D"/>
    <w:rsid w:val="00435E0E"/>
    <w:rsid w:val="004504E0"/>
    <w:rsid w:val="0047549E"/>
    <w:rsid w:val="00484DE3"/>
    <w:rsid w:val="004914B8"/>
    <w:rsid w:val="004B1551"/>
    <w:rsid w:val="004D2C03"/>
    <w:rsid w:val="004E553B"/>
    <w:rsid w:val="004E5B25"/>
    <w:rsid w:val="004E77FC"/>
    <w:rsid w:val="00506328"/>
    <w:rsid w:val="00506ABA"/>
    <w:rsid w:val="0051281C"/>
    <w:rsid w:val="00513EAD"/>
    <w:rsid w:val="00550C2D"/>
    <w:rsid w:val="00567722"/>
    <w:rsid w:val="00592163"/>
    <w:rsid w:val="00593CA2"/>
    <w:rsid w:val="005B1053"/>
    <w:rsid w:val="005B3C5A"/>
    <w:rsid w:val="005D1A29"/>
    <w:rsid w:val="005D3EC7"/>
    <w:rsid w:val="005D4BA1"/>
    <w:rsid w:val="005E7AC0"/>
    <w:rsid w:val="005F0FAD"/>
    <w:rsid w:val="00634A77"/>
    <w:rsid w:val="00635F30"/>
    <w:rsid w:val="00643147"/>
    <w:rsid w:val="006573E5"/>
    <w:rsid w:val="006766B9"/>
    <w:rsid w:val="006776E3"/>
    <w:rsid w:val="006C1B0D"/>
    <w:rsid w:val="006C6B12"/>
    <w:rsid w:val="006E1D7D"/>
    <w:rsid w:val="006F23E5"/>
    <w:rsid w:val="00705F69"/>
    <w:rsid w:val="007167ED"/>
    <w:rsid w:val="00720D78"/>
    <w:rsid w:val="0073494D"/>
    <w:rsid w:val="00746A80"/>
    <w:rsid w:val="00747459"/>
    <w:rsid w:val="00747599"/>
    <w:rsid w:val="0075190B"/>
    <w:rsid w:val="00760893"/>
    <w:rsid w:val="00761D72"/>
    <w:rsid w:val="0076647C"/>
    <w:rsid w:val="007666C1"/>
    <w:rsid w:val="00774119"/>
    <w:rsid w:val="00776FA7"/>
    <w:rsid w:val="00792190"/>
    <w:rsid w:val="007A430A"/>
    <w:rsid w:val="007A4AC4"/>
    <w:rsid w:val="007B3CF1"/>
    <w:rsid w:val="007C063E"/>
    <w:rsid w:val="0085516E"/>
    <w:rsid w:val="00857524"/>
    <w:rsid w:val="00873C2C"/>
    <w:rsid w:val="008A1581"/>
    <w:rsid w:val="008B55A8"/>
    <w:rsid w:val="008E0490"/>
    <w:rsid w:val="00932B89"/>
    <w:rsid w:val="00944D43"/>
    <w:rsid w:val="00953CE5"/>
    <w:rsid w:val="00961F90"/>
    <w:rsid w:val="009761D9"/>
    <w:rsid w:val="00977322"/>
    <w:rsid w:val="00981D5E"/>
    <w:rsid w:val="009A109E"/>
    <w:rsid w:val="009C5B2F"/>
    <w:rsid w:val="009E2C90"/>
    <w:rsid w:val="009E3A0E"/>
    <w:rsid w:val="009F330B"/>
    <w:rsid w:val="009F3FC0"/>
    <w:rsid w:val="00A00515"/>
    <w:rsid w:val="00A019E0"/>
    <w:rsid w:val="00A02CB3"/>
    <w:rsid w:val="00A03ABF"/>
    <w:rsid w:val="00A06179"/>
    <w:rsid w:val="00A14164"/>
    <w:rsid w:val="00A14AB0"/>
    <w:rsid w:val="00A23E54"/>
    <w:rsid w:val="00A34DC8"/>
    <w:rsid w:val="00A35DE0"/>
    <w:rsid w:val="00A52AD8"/>
    <w:rsid w:val="00A57B0C"/>
    <w:rsid w:val="00A6076E"/>
    <w:rsid w:val="00A61FD6"/>
    <w:rsid w:val="00A6614B"/>
    <w:rsid w:val="00A665BC"/>
    <w:rsid w:val="00A80202"/>
    <w:rsid w:val="00A82465"/>
    <w:rsid w:val="00A914D5"/>
    <w:rsid w:val="00A920F1"/>
    <w:rsid w:val="00AB7F94"/>
    <w:rsid w:val="00AD42AD"/>
    <w:rsid w:val="00AD4A7A"/>
    <w:rsid w:val="00AF3F1F"/>
    <w:rsid w:val="00B14FF2"/>
    <w:rsid w:val="00B22E9B"/>
    <w:rsid w:val="00B76068"/>
    <w:rsid w:val="00B91997"/>
    <w:rsid w:val="00BD3B1D"/>
    <w:rsid w:val="00BE373E"/>
    <w:rsid w:val="00BE5F54"/>
    <w:rsid w:val="00BF272C"/>
    <w:rsid w:val="00BF6E99"/>
    <w:rsid w:val="00C302C7"/>
    <w:rsid w:val="00C42427"/>
    <w:rsid w:val="00C43B5B"/>
    <w:rsid w:val="00C47A47"/>
    <w:rsid w:val="00C527FB"/>
    <w:rsid w:val="00C60C0C"/>
    <w:rsid w:val="00C61504"/>
    <w:rsid w:val="00C66D08"/>
    <w:rsid w:val="00C67414"/>
    <w:rsid w:val="00C758CD"/>
    <w:rsid w:val="00C82316"/>
    <w:rsid w:val="00C869EE"/>
    <w:rsid w:val="00C91900"/>
    <w:rsid w:val="00CB1154"/>
    <w:rsid w:val="00CC0D36"/>
    <w:rsid w:val="00CF0622"/>
    <w:rsid w:val="00CF24B4"/>
    <w:rsid w:val="00CF5913"/>
    <w:rsid w:val="00D05003"/>
    <w:rsid w:val="00D17FF1"/>
    <w:rsid w:val="00D23A7C"/>
    <w:rsid w:val="00D27281"/>
    <w:rsid w:val="00D405DC"/>
    <w:rsid w:val="00D44E80"/>
    <w:rsid w:val="00D570B0"/>
    <w:rsid w:val="00D86991"/>
    <w:rsid w:val="00DA1CF8"/>
    <w:rsid w:val="00DA25AB"/>
    <w:rsid w:val="00DC3458"/>
    <w:rsid w:val="00DC62B0"/>
    <w:rsid w:val="00DC78B4"/>
    <w:rsid w:val="00DE1C03"/>
    <w:rsid w:val="00E017DC"/>
    <w:rsid w:val="00E1316C"/>
    <w:rsid w:val="00E26EFE"/>
    <w:rsid w:val="00E270DC"/>
    <w:rsid w:val="00E403E1"/>
    <w:rsid w:val="00E44633"/>
    <w:rsid w:val="00E47DC1"/>
    <w:rsid w:val="00E56E34"/>
    <w:rsid w:val="00E64D8D"/>
    <w:rsid w:val="00E746A5"/>
    <w:rsid w:val="00E748AF"/>
    <w:rsid w:val="00E75EDE"/>
    <w:rsid w:val="00E767A3"/>
    <w:rsid w:val="00E85DEE"/>
    <w:rsid w:val="00E90F8D"/>
    <w:rsid w:val="00EB263F"/>
    <w:rsid w:val="00EB5FB5"/>
    <w:rsid w:val="00EC0334"/>
    <w:rsid w:val="00EE086E"/>
    <w:rsid w:val="00EE70B6"/>
    <w:rsid w:val="00F11686"/>
    <w:rsid w:val="00F1247C"/>
    <w:rsid w:val="00F12FD0"/>
    <w:rsid w:val="00F70893"/>
    <w:rsid w:val="00F80183"/>
    <w:rsid w:val="00F93D63"/>
    <w:rsid w:val="00FA171E"/>
    <w:rsid w:val="00FA1E6E"/>
    <w:rsid w:val="00FA3C67"/>
    <w:rsid w:val="00FA4B18"/>
    <w:rsid w:val="00FC1ECF"/>
    <w:rsid w:val="00FD7E9E"/>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FAE71-0B09-4590-B65F-4965A401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22"/>
    <w:pPr>
      <w:spacing w:after="0" w:line="240" w:lineRule="auto"/>
    </w:pPr>
    <w:rPr>
      <w:rFonts w:ascii="Arial" w:hAnsi="Arial" w:cs="Arial"/>
    </w:rPr>
  </w:style>
  <w:style w:type="paragraph" w:styleId="Heading1">
    <w:name w:val="heading 1"/>
    <w:basedOn w:val="Normal"/>
    <w:next w:val="Normal"/>
    <w:link w:val="Heading1Char"/>
    <w:uiPriority w:val="9"/>
    <w:qFormat/>
    <w:rsid w:val="00567722"/>
    <w:pPr>
      <w:keepNext/>
      <w:keepLines/>
      <w:jc w:val="center"/>
      <w:outlineLvl w:val="0"/>
    </w:pPr>
    <w:rPr>
      <w:rFonts w:eastAsiaTheme="majorEastAsia"/>
      <w:b/>
      <w:bCs/>
      <w:sz w:val="40"/>
      <w:szCs w:val="40"/>
    </w:rPr>
  </w:style>
  <w:style w:type="paragraph" w:styleId="Heading2">
    <w:name w:val="heading 2"/>
    <w:basedOn w:val="Normal"/>
    <w:next w:val="Normal"/>
    <w:link w:val="Heading2Char"/>
    <w:uiPriority w:val="9"/>
    <w:semiHidden/>
    <w:unhideWhenUsed/>
    <w:qFormat/>
    <w:rsid w:val="009A10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3E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0A"/>
    <w:pPr>
      <w:ind w:left="720"/>
      <w:contextualSpacing/>
    </w:pPr>
  </w:style>
  <w:style w:type="character" w:styleId="Hyperlink">
    <w:name w:val="Hyperlink"/>
    <w:basedOn w:val="DefaultParagraphFont"/>
    <w:uiPriority w:val="99"/>
    <w:unhideWhenUsed/>
    <w:rsid w:val="007A430A"/>
    <w:rPr>
      <w:color w:val="0000FF" w:themeColor="hyperlink"/>
      <w:u w:val="single"/>
    </w:rPr>
  </w:style>
  <w:style w:type="character" w:styleId="FollowedHyperlink">
    <w:name w:val="FollowedHyperlink"/>
    <w:basedOn w:val="DefaultParagraphFont"/>
    <w:uiPriority w:val="99"/>
    <w:semiHidden/>
    <w:unhideWhenUsed/>
    <w:rsid w:val="007A430A"/>
    <w:rPr>
      <w:color w:val="800080" w:themeColor="followedHyperlink"/>
      <w:u w:val="single"/>
    </w:rPr>
  </w:style>
  <w:style w:type="paragraph" w:styleId="BalloonText">
    <w:name w:val="Balloon Text"/>
    <w:basedOn w:val="Normal"/>
    <w:link w:val="BalloonTextChar"/>
    <w:uiPriority w:val="99"/>
    <w:semiHidden/>
    <w:unhideWhenUsed/>
    <w:rsid w:val="00115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59"/>
    <w:rPr>
      <w:rFonts w:ascii="Segoe UI" w:hAnsi="Segoe UI" w:cs="Segoe UI"/>
      <w:sz w:val="18"/>
      <w:szCs w:val="18"/>
    </w:rPr>
  </w:style>
  <w:style w:type="character" w:customStyle="1" w:styleId="Heading1Char">
    <w:name w:val="Heading 1 Char"/>
    <w:basedOn w:val="DefaultParagraphFont"/>
    <w:link w:val="Heading1"/>
    <w:uiPriority w:val="9"/>
    <w:rsid w:val="00567722"/>
    <w:rPr>
      <w:rFonts w:ascii="Arial" w:eastAsiaTheme="majorEastAsia" w:hAnsi="Arial" w:cs="Arial"/>
      <w:b/>
      <w:bCs/>
      <w:sz w:val="40"/>
      <w:szCs w:val="40"/>
    </w:rPr>
  </w:style>
  <w:style w:type="paragraph" w:styleId="Title">
    <w:name w:val="Title"/>
    <w:basedOn w:val="Normal"/>
    <w:next w:val="Normal"/>
    <w:link w:val="TitleChar"/>
    <w:uiPriority w:val="10"/>
    <w:qFormat/>
    <w:rsid w:val="008E04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49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06ABA"/>
    <w:pPr>
      <w:tabs>
        <w:tab w:val="center" w:pos="4680"/>
        <w:tab w:val="right" w:pos="9360"/>
      </w:tabs>
    </w:pPr>
  </w:style>
  <w:style w:type="character" w:customStyle="1" w:styleId="HeaderChar">
    <w:name w:val="Header Char"/>
    <w:basedOn w:val="DefaultParagraphFont"/>
    <w:link w:val="Header"/>
    <w:uiPriority w:val="99"/>
    <w:rsid w:val="00506ABA"/>
    <w:rPr>
      <w:rFonts w:ascii="Arial" w:hAnsi="Arial" w:cs="Arial"/>
    </w:rPr>
  </w:style>
  <w:style w:type="paragraph" w:styleId="Footer">
    <w:name w:val="footer"/>
    <w:basedOn w:val="Normal"/>
    <w:link w:val="FooterChar"/>
    <w:uiPriority w:val="99"/>
    <w:unhideWhenUsed/>
    <w:rsid w:val="00506ABA"/>
    <w:pPr>
      <w:tabs>
        <w:tab w:val="center" w:pos="4680"/>
        <w:tab w:val="right" w:pos="9360"/>
      </w:tabs>
    </w:pPr>
  </w:style>
  <w:style w:type="character" w:customStyle="1" w:styleId="FooterChar">
    <w:name w:val="Footer Char"/>
    <w:basedOn w:val="DefaultParagraphFont"/>
    <w:link w:val="Footer"/>
    <w:uiPriority w:val="99"/>
    <w:rsid w:val="00506ABA"/>
    <w:rPr>
      <w:rFonts w:ascii="Arial" w:hAnsi="Arial" w:cs="Arial"/>
    </w:rPr>
  </w:style>
  <w:style w:type="character" w:customStyle="1" w:styleId="Heading3Char">
    <w:name w:val="Heading 3 Char"/>
    <w:basedOn w:val="DefaultParagraphFont"/>
    <w:link w:val="Heading3"/>
    <w:uiPriority w:val="9"/>
    <w:semiHidden/>
    <w:rsid w:val="00143E3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A109E"/>
    <w:rPr>
      <w:rFonts w:asciiTheme="majorHAnsi" w:eastAsiaTheme="majorEastAsia" w:hAnsiTheme="majorHAnsi" w:cstheme="majorBidi"/>
      <w:b/>
      <w:bCs/>
      <w:color w:val="4F81BD" w:themeColor="accent1"/>
      <w:sz w:val="26"/>
      <w:szCs w:val="26"/>
    </w:rPr>
  </w:style>
  <w:style w:type="table" w:customStyle="1" w:styleId="TableGrid6">
    <w:name w:val="Table Grid6"/>
    <w:basedOn w:val="TableNormal"/>
    <w:uiPriority w:val="59"/>
    <w:rsid w:val="00DC34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DC34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4623">
      <w:bodyDiv w:val="1"/>
      <w:marLeft w:val="0"/>
      <w:marRight w:val="0"/>
      <w:marTop w:val="0"/>
      <w:marBottom w:val="0"/>
      <w:divBdr>
        <w:top w:val="none" w:sz="0" w:space="0" w:color="auto"/>
        <w:left w:val="none" w:sz="0" w:space="0" w:color="auto"/>
        <w:bottom w:val="none" w:sz="0" w:space="0" w:color="auto"/>
        <w:right w:val="none" w:sz="0" w:space="0" w:color="auto"/>
      </w:divBdr>
    </w:div>
    <w:div w:id="1027952191">
      <w:bodyDiv w:val="1"/>
      <w:marLeft w:val="0"/>
      <w:marRight w:val="0"/>
      <w:marTop w:val="0"/>
      <w:marBottom w:val="0"/>
      <w:divBdr>
        <w:top w:val="none" w:sz="0" w:space="0" w:color="auto"/>
        <w:left w:val="none" w:sz="0" w:space="0" w:color="auto"/>
        <w:bottom w:val="none" w:sz="0" w:space="0" w:color="auto"/>
        <w:right w:val="none" w:sz="0" w:space="0" w:color="auto"/>
      </w:divBdr>
    </w:div>
    <w:div w:id="20307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quality.virgini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e.virginia.gov/statistics_reports/accreditation_federal_reports/accreditation/index.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2019-2020 Accreditation Ratings Shine Light on School Progress and Needs</vt:lpstr>
    </vt:vector>
  </TitlesOfParts>
  <Company>Virginia IT Infrastructure Partnership</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Accreditation Ratings Shine Light on School Progress and Needs</dc:title>
  <dc:creator>Virginia Department of Education;Office of Media Relations</dc:creator>
  <cp:keywords>2019-2020 School Accreditation Ratings</cp:keywords>
  <cp:lastModifiedBy>Trisha Young</cp:lastModifiedBy>
  <cp:revision>2</cp:revision>
  <cp:lastPrinted>2019-09-25T13:54:00Z</cp:lastPrinted>
  <dcterms:created xsi:type="dcterms:W3CDTF">2019-10-30T19:42:00Z</dcterms:created>
  <dcterms:modified xsi:type="dcterms:W3CDTF">2019-10-30T19:42:00Z</dcterms:modified>
  <cp:contentStatus/>
</cp:coreProperties>
</file>